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40" w:rsidRDefault="00B57240">
      <w:pPr>
        <w:pStyle w:val="ConsPlusTitlePage"/>
      </w:pPr>
      <w:r>
        <w:t xml:space="preserve">Документ предоставлен </w:t>
      </w:r>
      <w:hyperlink r:id="rId5">
        <w:r>
          <w:rPr>
            <w:color w:val="0000FF"/>
          </w:rPr>
          <w:t>КонсультантПлюс</w:t>
        </w:r>
      </w:hyperlink>
      <w:r>
        <w:br/>
      </w:r>
    </w:p>
    <w:p w:rsidR="00B57240" w:rsidRDefault="00B572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7240">
        <w:tc>
          <w:tcPr>
            <w:tcW w:w="4677" w:type="dxa"/>
            <w:tcBorders>
              <w:top w:val="nil"/>
              <w:left w:val="nil"/>
              <w:bottom w:val="nil"/>
              <w:right w:val="nil"/>
            </w:tcBorders>
          </w:tcPr>
          <w:p w:rsidR="00B57240" w:rsidRDefault="00B57240">
            <w:pPr>
              <w:pStyle w:val="ConsPlusNormal"/>
            </w:pPr>
            <w:r>
              <w:t>12 ноября 2014 года</w:t>
            </w:r>
          </w:p>
        </w:tc>
        <w:tc>
          <w:tcPr>
            <w:tcW w:w="4677" w:type="dxa"/>
            <w:tcBorders>
              <w:top w:val="nil"/>
              <w:left w:val="nil"/>
              <w:bottom w:val="nil"/>
              <w:right w:val="nil"/>
            </w:tcBorders>
          </w:tcPr>
          <w:p w:rsidR="00B57240" w:rsidRDefault="00B57240">
            <w:pPr>
              <w:pStyle w:val="ConsPlusNormal"/>
              <w:jc w:val="right"/>
            </w:pPr>
            <w:r>
              <w:t>N 2712/766-V-ОЗ</w:t>
            </w:r>
          </w:p>
        </w:tc>
      </w:tr>
    </w:tbl>
    <w:p w:rsidR="00B57240" w:rsidRDefault="00B57240">
      <w:pPr>
        <w:pStyle w:val="ConsPlusNormal"/>
        <w:pBdr>
          <w:bottom w:val="single" w:sz="6" w:space="0" w:color="auto"/>
        </w:pBdr>
        <w:spacing w:before="100" w:after="100"/>
        <w:jc w:val="both"/>
        <w:rPr>
          <w:sz w:val="2"/>
          <w:szCs w:val="2"/>
        </w:rPr>
      </w:pPr>
    </w:p>
    <w:p w:rsidR="00B57240" w:rsidRDefault="00B57240">
      <w:pPr>
        <w:pStyle w:val="ConsPlusNormal"/>
        <w:jc w:val="both"/>
      </w:pPr>
    </w:p>
    <w:p w:rsidR="00B57240" w:rsidRDefault="00B57240">
      <w:pPr>
        <w:pStyle w:val="ConsPlusTitle"/>
        <w:jc w:val="center"/>
      </w:pPr>
      <w:r>
        <w:t>РОССИЙСКАЯ ФЕДЕРАЦИЯ</w:t>
      </w:r>
    </w:p>
    <w:p w:rsidR="00B57240" w:rsidRDefault="00B57240">
      <w:pPr>
        <w:pStyle w:val="ConsPlusTitle"/>
        <w:jc w:val="center"/>
      </w:pPr>
    </w:p>
    <w:p w:rsidR="00B57240" w:rsidRDefault="00B57240">
      <w:pPr>
        <w:pStyle w:val="ConsPlusTitle"/>
        <w:jc w:val="center"/>
      </w:pPr>
      <w:r>
        <w:t>ЗАКОН</w:t>
      </w:r>
    </w:p>
    <w:p w:rsidR="00B57240" w:rsidRDefault="00B57240">
      <w:pPr>
        <w:pStyle w:val="ConsPlusTitle"/>
        <w:jc w:val="center"/>
      </w:pPr>
      <w:r>
        <w:t>ОРЕНБУРГСКОЙ ОБЛАСТИ</w:t>
      </w:r>
    </w:p>
    <w:p w:rsidR="00B57240" w:rsidRDefault="00B57240">
      <w:pPr>
        <w:pStyle w:val="ConsPlusTitle"/>
        <w:jc w:val="center"/>
      </w:pPr>
    </w:p>
    <w:p w:rsidR="00B57240" w:rsidRDefault="00B57240">
      <w:pPr>
        <w:pStyle w:val="ConsPlusTitle"/>
        <w:jc w:val="center"/>
      </w:pPr>
      <w:r>
        <w:t>О ПОРЯДКАХ ПРОВЕДЕНИЯ ОЦЕНКИ РЕГУЛИРУЮЩЕГО ВОЗДЕЙСТВИЯ</w:t>
      </w:r>
    </w:p>
    <w:p w:rsidR="00B57240" w:rsidRDefault="00B57240">
      <w:pPr>
        <w:pStyle w:val="ConsPlusTitle"/>
        <w:jc w:val="center"/>
      </w:pPr>
      <w:r>
        <w:t>ПРОЕКТОВ МУНИЦИПАЛЬНЫХ НОРМАТИВНЫХ ПРАВОВЫХ АКТОВ</w:t>
      </w:r>
    </w:p>
    <w:p w:rsidR="00B57240" w:rsidRDefault="00B57240">
      <w:pPr>
        <w:pStyle w:val="ConsPlusTitle"/>
        <w:jc w:val="center"/>
      </w:pPr>
      <w:r>
        <w:t>И ЭКСПЕРТИЗЫ МУНИЦИПАЛЬНЫХ НОРМАТИВНЫХ ПРАВОВЫХ АКТОВ</w:t>
      </w:r>
    </w:p>
    <w:p w:rsidR="00B57240" w:rsidRDefault="00B57240">
      <w:pPr>
        <w:pStyle w:val="ConsPlusNormal"/>
        <w:jc w:val="both"/>
      </w:pPr>
    </w:p>
    <w:p w:rsidR="00B57240" w:rsidRDefault="00B57240">
      <w:pPr>
        <w:pStyle w:val="ConsPlusNormal"/>
        <w:jc w:val="right"/>
      </w:pPr>
      <w:proofErr w:type="gramStart"/>
      <w:r>
        <w:t>Принят</w:t>
      </w:r>
      <w:proofErr w:type="gramEnd"/>
    </w:p>
    <w:p w:rsidR="00B57240" w:rsidRDefault="00B57240">
      <w:pPr>
        <w:pStyle w:val="ConsPlusNormal"/>
        <w:jc w:val="right"/>
      </w:pPr>
      <w:hyperlink r:id="rId6">
        <w:r>
          <w:rPr>
            <w:color w:val="0000FF"/>
          </w:rPr>
          <w:t>постановлением</w:t>
        </w:r>
      </w:hyperlink>
    </w:p>
    <w:p w:rsidR="00B57240" w:rsidRDefault="00B57240">
      <w:pPr>
        <w:pStyle w:val="ConsPlusNormal"/>
        <w:jc w:val="right"/>
      </w:pPr>
      <w:r>
        <w:t>Законодательного Собрания</w:t>
      </w:r>
    </w:p>
    <w:p w:rsidR="00B57240" w:rsidRDefault="00B57240">
      <w:pPr>
        <w:pStyle w:val="ConsPlusNormal"/>
        <w:jc w:val="right"/>
      </w:pPr>
      <w:r>
        <w:t>Оренбургской области</w:t>
      </w:r>
    </w:p>
    <w:p w:rsidR="00B57240" w:rsidRDefault="00B57240">
      <w:pPr>
        <w:pStyle w:val="ConsPlusNormal"/>
        <w:jc w:val="right"/>
      </w:pPr>
      <w:r>
        <w:t>от 6 ноября 2014 г. N 2712</w:t>
      </w:r>
    </w:p>
    <w:p w:rsidR="00B57240" w:rsidRDefault="00B57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7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7240" w:rsidRDefault="00B57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7240" w:rsidRDefault="00B57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7240" w:rsidRDefault="00B57240">
            <w:pPr>
              <w:pStyle w:val="ConsPlusNormal"/>
              <w:jc w:val="center"/>
            </w:pPr>
            <w:r>
              <w:rPr>
                <w:color w:val="392C69"/>
              </w:rPr>
              <w:t>Список изменяющих документов</w:t>
            </w:r>
          </w:p>
          <w:p w:rsidR="00B57240" w:rsidRDefault="00B57240">
            <w:pPr>
              <w:pStyle w:val="ConsPlusNormal"/>
              <w:jc w:val="center"/>
            </w:pPr>
            <w:proofErr w:type="gramStart"/>
            <w:r>
              <w:rPr>
                <w:color w:val="392C69"/>
              </w:rPr>
              <w:t xml:space="preserve">(в ред. Законов Оренбургской области от 13.05.2016 </w:t>
            </w:r>
            <w:hyperlink r:id="rId7">
              <w:r>
                <w:rPr>
                  <w:color w:val="0000FF"/>
                </w:rPr>
                <w:t>N 3844/1061-V-ОЗ</w:t>
              </w:r>
            </w:hyperlink>
            <w:r>
              <w:rPr>
                <w:color w:val="392C69"/>
              </w:rPr>
              <w:t>,</w:t>
            </w:r>
            <w:proofErr w:type="gramEnd"/>
          </w:p>
          <w:p w:rsidR="00B57240" w:rsidRDefault="00B57240">
            <w:pPr>
              <w:pStyle w:val="ConsPlusNormal"/>
              <w:jc w:val="center"/>
            </w:pPr>
            <w:r>
              <w:rPr>
                <w:color w:val="392C69"/>
              </w:rPr>
              <w:t xml:space="preserve">от 05.09.2016 </w:t>
            </w:r>
            <w:hyperlink r:id="rId8">
              <w:r>
                <w:rPr>
                  <w:color w:val="0000FF"/>
                </w:rPr>
                <w:t>N 4029/1098-V-ОЗ</w:t>
              </w:r>
            </w:hyperlink>
            <w:r>
              <w:rPr>
                <w:color w:val="392C69"/>
              </w:rPr>
              <w:t xml:space="preserve">, от 01.03.2021 </w:t>
            </w:r>
            <w:hyperlink r:id="rId9">
              <w:r>
                <w:rPr>
                  <w:color w:val="0000FF"/>
                </w:rPr>
                <w:t>N 2723/737-VI-ОЗ</w:t>
              </w:r>
            </w:hyperlink>
            <w:r>
              <w:rPr>
                <w:color w:val="392C69"/>
              </w:rPr>
              <w:t>,</w:t>
            </w:r>
          </w:p>
          <w:p w:rsidR="00B57240" w:rsidRDefault="00B57240">
            <w:pPr>
              <w:pStyle w:val="ConsPlusNormal"/>
              <w:jc w:val="center"/>
            </w:pPr>
            <w:r>
              <w:rPr>
                <w:color w:val="392C69"/>
              </w:rPr>
              <w:t xml:space="preserve">от 07.12.2021 </w:t>
            </w:r>
            <w:hyperlink r:id="rId10">
              <w:r>
                <w:rPr>
                  <w:color w:val="0000FF"/>
                </w:rPr>
                <w:t>N 115/50-VII-ОЗ</w:t>
              </w:r>
            </w:hyperlink>
            <w:r>
              <w:rPr>
                <w:color w:val="392C69"/>
              </w:rPr>
              <w:t xml:space="preserve">, от 21.03.2025 </w:t>
            </w:r>
            <w:hyperlink r:id="rId11">
              <w:r>
                <w:rPr>
                  <w:color w:val="0000FF"/>
                </w:rPr>
                <w:t>N 1412/606-VII-ОЗ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7240" w:rsidRDefault="00B57240">
            <w:pPr>
              <w:pStyle w:val="ConsPlusNormal"/>
            </w:pPr>
          </w:p>
        </w:tc>
      </w:tr>
    </w:tbl>
    <w:p w:rsidR="00B57240" w:rsidRDefault="00B57240">
      <w:pPr>
        <w:pStyle w:val="ConsPlusNormal"/>
        <w:jc w:val="both"/>
      </w:pPr>
    </w:p>
    <w:p w:rsidR="00B57240" w:rsidRDefault="00B57240">
      <w:pPr>
        <w:pStyle w:val="ConsPlusNormal"/>
        <w:ind w:firstLine="540"/>
        <w:jc w:val="both"/>
      </w:pPr>
      <w:r>
        <w:t xml:space="preserve">Настоящий Закон разработан в соответствии со </w:t>
      </w:r>
      <w:hyperlink r:id="rId12">
        <w:r>
          <w:rPr>
            <w:color w:val="0000FF"/>
          </w:rPr>
          <w:t>статьями 7</w:t>
        </w:r>
      </w:hyperlink>
      <w:r>
        <w:t xml:space="preserve"> и </w:t>
      </w:r>
      <w:hyperlink r:id="rId13">
        <w:r>
          <w:rPr>
            <w:color w:val="0000FF"/>
          </w:rPr>
          <w:t>46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57240" w:rsidRDefault="00B57240">
      <w:pPr>
        <w:pStyle w:val="ConsPlusNormal"/>
        <w:jc w:val="both"/>
      </w:pPr>
      <w:r>
        <w:t xml:space="preserve">(преамбула введена </w:t>
      </w:r>
      <w:hyperlink r:id="rId14">
        <w:r>
          <w:rPr>
            <w:color w:val="0000FF"/>
          </w:rPr>
          <w:t>Законом</w:t>
        </w:r>
      </w:hyperlink>
      <w:r>
        <w:t xml:space="preserve"> Оренбургской области от 05.09.2016 N 4029/1098-V-ОЗ)</w:t>
      </w:r>
    </w:p>
    <w:p w:rsidR="00B57240" w:rsidRDefault="00B57240">
      <w:pPr>
        <w:pStyle w:val="ConsPlusNormal"/>
        <w:jc w:val="both"/>
      </w:pPr>
    </w:p>
    <w:p w:rsidR="00B57240" w:rsidRDefault="00B57240">
      <w:pPr>
        <w:pStyle w:val="ConsPlusTitle"/>
        <w:ind w:firstLine="540"/>
        <w:jc w:val="both"/>
        <w:outlineLvl w:val="0"/>
      </w:pPr>
      <w:r>
        <w:t>Статья 1. Предмет регулирования настоящего Закона</w:t>
      </w:r>
    </w:p>
    <w:p w:rsidR="00B57240" w:rsidRDefault="00B57240">
      <w:pPr>
        <w:pStyle w:val="ConsPlusNormal"/>
        <w:ind w:firstLine="540"/>
        <w:jc w:val="both"/>
      </w:pPr>
    </w:p>
    <w:p w:rsidR="00B57240" w:rsidRDefault="00B57240">
      <w:pPr>
        <w:pStyle w:val="ConsPlusNormal"/>
        <w:ind w:firstLine="540"/>
        <w:jc w:val="both"/>
      </w:pPr>
      <w:r>
        <w:t xml:space="preserve">(в ред. </w:t>
      </w:r>
      <w:hyperlink r:id="rId15">
        <w:r>
          <w:rPr>
            <w:color w:val="0000FF"/>
          </w:rPr>
          <w:t>Закона</w:t>
        </w:r>
      </w:hyperlink>
      <w:r>
        <w:t xml:space="preserve"> Оренбургской области от 05.09.2016 N 4029/1098-V-ОЗ)</w:t>
      </w:r>
    </w:p>
    <w:p w:rsidR="00B57240" w:rsidRDefault="00B57240">
      <w:pPr>
        <w:pStyle w:val="ConsPlusNormal"/>
        <w:jc w:val="both"/>
      </w:pPr>
    </w:p>
    <w:p w:rsidR="00B57240" w:rsidRDefault="00B57240">
      <w:pPr>
        <w:pStyle w:val="ConsPlusNormal"/>
        <w:ind w:firstLine="540"/>
        <w:jc w:val="both"/>
      </w:pPr>
      <w:r>
        <w:t>1. Настоящий Закон регулирует отношения, связанные с проведением органами местного самоуправления муниципальных образований Оренбургской области (далее - органы местного самоуправления):</w:t>
      </w:r>
    </w:p>
    <w:p w:rsidR="00B57240" w:rsidRDefault="00B57240">
      <w:pPr>
        <w:pStyle w:val="ConsPlusNormal"/>
        <w:spacing w:before="220"/>
        <w:ind w:firstLine="540"/>
        <w:jc w:val="both"/>
      </w:pPr>
      <w:r>
        <w:t>1)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Start"/>
      <w:r>
        <w:t>.</w:t>
      </w:r>
      <w:proofErr w:type="gramEnd"/>
      <w:r>
        <w:t xml:space="preserve"> (</w:t>
      </w:r>
      <w:proofErr w:type="gramStart"/>
      <w:r>
        <w:t>д</w:t>
      </w:r>
      <w:proofErr w:type="gramEnd"/>
      <w:r>
        <w:t>алее - проекты муниципальных актов);</w:t>
      </w:r>
    </w:p>
    <w:p w:rsidR="00B57240" w:rsidRDefault="00B57240">
      <w:pPr>
        <w:pStyle w:val="ConsPlusNormal"/>
        <w:jc w:val="both"/>
      </w:pPr>
      <w:r>
        <w:t xml:space="preserve">(в ред. </w:t>
      </w:r>
      <w:hyperlink r:id="rId16">
        <w:r>
          <w:rPr>
            <w:color w:val="0000FF"/>
          </w:rPr>
          <w:t>Закона</w:t>
        </w:r>
      </w:hyperlink>
      <w:r>
        <w:t xml:space="preserve"> Оренбургской области от 07.12.2021 N 115/50-VII-ОЗ)</w:t>
      </w:r>
    </w:p>
    <w:p w:rsidR="00B57240" w:rsidRDefault="00B57240">
      <w:pPr>
        <w:pStyle w:val="ConsPlusNormal"/>
        <w:spacing w:before="220"/>
        <w:ind w:firstLine="540"/>
        <w:jc w:val="both"/>
      </w:pPr>
      <w:r>
        <w:t>2) экспертизы муниципальных нормативных правовых актов, затрагивающих вопросы осуществления предпринимательской и инвестиционной деятельности (далее - муниципальные акты).</w:t>
      </w:r>
    </w:p>
    <w:p w:rsidR="00B57240" w:rsidRDefault="00B57240">
      <w:pPr>
        <w:pStyle w:val="ConsPlusNormal"/>
        <w:spacing w:before="220"/>
        <w:ind w:firstLine="540"/>
        <w:jc w:val="both"/>
      </w:pPr>
      <w:r>
        <w:t>2. Действие настоящего Закона не распространяется:</w:t>
      </w:r>
    </w:p>
    <w:p w:rsidR="00B57240" w:rsidRDefault="00B57240">
      <w:pPr>
        <w:pStyle w:val="ConsPlusNormal"/>
        <w:spacing w:before="220"/>
        <w:ind w:firstLine="540"/>
        <w:jc w:val="both"/>
      </w:pPr>
      <w:r>
        <w:t xml:space="preserve">1) на проекты муниципальных актов представительных органов муниципальных образований Оренбургской области, устанавливающих, изменяющих, приостанавливающих, </w:t>
      </w:r>
      <w:r>
        <w:lastRenderedPageBreak/>
        <w:t>отменяющих местные налоги и сборы;</w:t>
      </w:r>
    </w:p>
    <w:p w:rsidR="00B57240" w:rsidRDefault="00B57240">
      <w:pPr>
        <w:pStyle w:val="ConsPlusNormal"/>
        <w:spacing w:before="220"/>
        <w:ind w:firstLine="540"/>
        <w:jc w:val="both"/>
      </w:pPr>
      <w:r>
        <w:t>2) проекты муниципальных актов представительных органов муниципальных образований Оренбургской области, регулирующих бюджетные правоотношения;</w:t>
      </w:r>
    </w:p>
    <w:p w:rsidR="00B57240" w:rsidRDefault="00B57240">
      <w:pPr>
        <w:pStyle w:val="ConsPlusNormal"/>
        <w:spacing w:before="220"/>
        <w:ind w:firstLine="540"/>
        <w:jc w:val="both"/>
      </w:pPr>
      <w:r>
        <w:t>3) проекты муниципальных актов, разработанные в целях ликвидации чрезвычайных ситуаций природного и техногенного характера на период действия режимов чрезвычайных ситуаций.</w:t>
      </w:r>
    </w:p>
    <w:p w:rsidR="00B57240" w:rsidRDefault="00B57240">
      <w:pPr>
        <w:pStyle w:val="ConsPlusNormal"/>
        <w:jc w:val="both"/>
      </w:pPr>
      <w:r>
        <w:t xml:space="preserve">(часть 2 в ред. </w:t>
      </w:r>
      <w:hyperlink r:id="rId17">
        <w:r>
          <w:rPr>
            <w:color w:val="0000FF"/>
          </w:rPr>
          <w:t>Закона</w:t>
        </w:r>
      </w:hyperlink>
      <w:r>
        <w:t xml:space="preserve"> Оренбургской области от 01.03.2021 N 2723/737-VI-ОЗ)</w:t>
      </w:r>
    </w:p>
    <w:p w:rsidR="00B57240" w:rsidRDefault="00B57240">
      <w:pPr>
        <w:pStyle w:val="ConsPlusNormal"/>
        <w:jc w:val="both"/>
      </w:pPr>
    </w:p>
    <w:p w:rsidR="00B57240" w:rsidRDefault="00B57240">
      <w:pPr>
        <w:pStyle w:val="ConsPlusTitle"/>
        <w:ind w:firstLine="540"/>
        <w:jc w:val="both"/>
        <w:outlineLvl w:val="0"/>
      </w:pPr>
      <w:r>
        <w:t>Статья 2. Понятия и термины, используемые в настоящем Законе</w:t>
      </w:r>
    </w:p>
    <w:p w:rsidR="00B57240" w:rsidRDefault="00B57240">
      <w:pPr>
        <w:pStyle w:val="ConsPlusNormal"/>
        <w:jc w:val="both"/>
      </w:pPr>
    </w:p>
    <w:p w:rsidR="00B57240" w:rsidRDefault="00B57240">
      <w:pPr>
        <w:pStyle w:val="ConsPlusNormal"/>
        <w:ind w:firstLine="540"/>
        <w:jc w:val="both"/>
      </w:pPr>
      <w:r>
        <w:t xml:space="preserve">Понятия и термины, используемые в настоящем Законе, применяются в значениях, определенных в Федеральном </w:t>
      </w:r>
      <w:hyperlink r:id="rId18">
        <w:r>
          <w:rPr>
            <w:color w:val="0000FF"/>
          </w:rPr>
          <w:t>законе</w:t>
        </w:r>
      </w:hyperlink>
      <w:r>
        <w:t xml:space="preserve"> от 6 октября 2003 года N 131-ФЗ "Об общих принципах организации местного самоуправления в Российской Федерации".</w:t>
      </w:r>
    </w:p>
    <w:p w:rsidR="00B57240" w:rsidRDefault="00B57240">
      <w:pPr>
        <w:pStyle w:val="ConsPlusNormal"/>
        <w:jc w:val="both"/>
      </w:pPr>
    </w:p>
    <w:p w:rsidR="00B57240" w:rsidRDefault="00B57240">
      <w:pPr>
        <w:pStyle w:val="ConsPlusTitle"/>
        <w:ind w:firstLine="540"/>
        <w:jc w:val="both"/>
        <w:outlineLvl w:val="0"/>
      </w:pPr>
      <w:r>
        <w:t>Статья 2-1. Критерии включения муниципальных районов, муниципальных округов и городских округов Оренбургской области в перечень муниципальных районов, муниципальных округов и городских округов Оренбургской области, в которых проведение оценки регулирующего воздействия проектов муниципальных актов и экспертизы муниципальных актов является обязательным</w:t>
      </w:r>
    </w:p>
    <w:p w:rsidR="00B57240" w:rsidRDefault="00B57240">
      <w:pPr>
        <w:pStyle w:val="ConsPlusNormal"/>
        <w:ind w:firstLine="540"/>
        <w:jc w:val="both"/>
      </w:pPr>
    </w:p>
    <w:p w:rsidR="00B57240" w:rsidRDefault="00B57240">
      <w:pPr>
        <w:pStyle w:val="ConsPlusNormal"/>
        <w:ind w:firstLine="540"/>
        <w:jc w:val="both"/>
      </w:pPr>
      <w:r>
        <w:t xml:space="preserve">(в ред. </w:t>
      </w:r>
      <w:hyperlink r:id="rId19">
        <w:r>
          <w:rPr>
            <w:color w:val="0000FF"/>
          </w:rPr>
          <w:t>Закона</w:t>
        </w:r>
      </w:hyperlink>
      <w:r>
        <w:t xml:space="preserve"> Оренбургской области от 21.03.2025 N 1412/606-VII-ОЗ)</w:t>
      </w:r>
    </w:p>
    <w:p w:rsidR="00B57240" w:rsidRDefault="00B57240">
      <w:pPr>
        <w:pStyle w:val="ConsPlusNormal"/>
        <w:jc w:val="both"/>
      </w:pPr>
    </w:p>
    <w:p w:rsidR="00B57240" w:rsidRDefault="00B57240">
      <w:pPr>
        <w:pStyle w:val="ConsPlusNormal"/>
        <w:ind w:firstLine="540"/>
        <w:jc w:val="both"/>
      </w:pPr>
      <w:r>
        <w:t>1. Муниципальные районы, муниципальные округа и городские округа Оренбургской области включаются в перечень муниципальных районов, муниципальных округов и городских округов Оренбургской области, в которых проведение оценки регулирующего воздействия проектов муниципальных актов и экспертизы муниципальных актов является обязательным, при одновременном соответствии следующим критериям:</w:t>
      </w:r>
    </w:p>
    <w:p w:rsidR="00B57240" w:rsidRDefault="00B57240">
      <w:pPr>
        <w:pStyle w:val="ConsPlusNormal"/>
        <w:spacing w:before="220"/>
        <w:ind w:firstLine="540"/>
        <w:jc w:val="both"/>
      </w:pPr>
      <w:r>
        <w:t>1) число субъектов малого и среднего предпринимательства на территории муниципального района, муниципального округа или городского округа Оренбургской области на 10 тысяч человек населения муниципального района, муниципального округа или городского округа Оренбургской области составляет не менее 100;</w:t>
      </w:r>
    </w:p>
    <w:p w:rsidR="00B57240" w:rsidRDefault="00B57240">
      <w:pPr>
        <w:pStyle w:val="ConsPlusNormal"/>
        <w:spacing w:before="220"/>
        <w:ind w:firstLine="540"/>
        <w:jc w:val="both"/>
      </w:pPr>
      <w:r>
        <w:t>2) среднегодовая численность населения муниципального района, муниципального округа или городского округа Оренбургской области составляет не менее 10 тысяч человек;</w:t>
      </w:r>
    </w:p>
    <w:p w:rsidR="00B57240" w:rsidRDefault="00B57240">
      <w:pPr>
        <w:pStyle w:val="ConsPlusNormal"/>
        <w:spacing w:before="220"/>
        <w:ind w:firstLine="540"/>
        <w:jc w:val="both"/>
      </w:pPr>
      <w:r>
        <w:t>3) наделение муниципальных районов, муниципальных округов или городских округов Оренбургской области отдельными государственными полномочиями Оренбургской области или отдельными государственными полномочиями Российской Федерации, переданными для осуществления органам государственной власти Оренбургской области.</w:t>
      </w:r>
    </w:p>
    <w:p w:rsidR="00B57240" w:rsidRDefault="00B57240">
      <w:pPr>
        <w:pStyle w:val="ConsPlusNormal"/>
        <w:jc w:val="both"/>
      </w:pPr>
    </w:p>
    <w:p w:rsidR="00B57240" w:rsidRDefault="00B57240">
      <w:pPr>
        <w:pStyle w:val="ConsPlusTitle"/>
        <w:ind w:firstLine="540"/>
        <w:jc w:val="both"/>
        <w:outlineLvl w:val="0"/>
      </w:pPr>
      <w:bookmarkStart w:id="0" w:name="P53"/>
      <w:bookmarkEnd w:id="0"/>
      <w:r>
        <w:t>Статья 2-2. Перечень муниципальных районов, муниципальных округов и городских округов Оренбургской области, в которых проведение оценки регулирующего воздействия проектов муниципальных актов и экспертизы муниципальных актов является обязательным</w:t>
      </w:r>
    </w:p>
    <w:p w:rsidR="00B57240" w:rsidRDefault="00B57240">
      <w:pPr>
        <w:pStyle w:val="ConsPlusNormal"/>
        <w:ind w:firstLine="540"/>
        <w:jc w:val="both"/>
      </w:pPr>
    </w:p>
    <w:p w:rsidR="00B57240" w:rsidRDefault="00B57240">
      <w:pPr>
        <w:pStyle w:val="ConsPlusNormal"/>
        <w:ind w:firstLine="540"/>
        <w:jc w:val="both"/>
      </w:pPr>
      <w:r>
        <w:t xml:space="preserve">(в ред. </w:t>
      </w:r>
      <w:hyperlink r:id="rId20">
        <w:r>
          <w:rPr>
            <w:color w:val="0000FF"/>
          </w:rPr>
          <w:t>Закона</w:t>
        </w:r>
      </w:hyperlink>
      <w:r>
        <w:t xml:space="preserve"> Оренбургской области от 21.03.2025 N 1412/606-VII-ОЗ)</w:t>
      </w:r>
    </w:p>
    <w:p w:rsidR="00B57240" w:rsidRDefault="00B57240">
      <w:pPr>
        <w:pStyle w:val="ConsPlusNormal"/>
        <w:jc w:val="both"/>
      </w:pPr>
    </w:p>
    <w:p w:rsidR="00B57240" w:rsidRDefault="00B57240">
      <w:pPr>
        <w:pStyle w:val="ConsPlusNormal"/>
        <w:ind w:firstLine="540"/>
        <w:jc w:val="both"/>
      </w:pPr>
      <w:r>
        <w:t>Проведение оценки регулирующего воздействия проектов муниципальных актов и экспертизы муниципальных актов является обязательным в следующих муниципальных районах, муниципальных округах и городских округах Оренбургской области:</w:t>
      </w:r>
    </w:p>
    <w:p w:rsidR="00B57240" w:rsidRDefault="00B57240">
      <w:pPr>
        <w:pStyle w:val="ConsPlusNormal"/>
        <w:spacing w:before="220"/>
        <w:ind w:firstLine="540"/>
        <w:jc w:val="both"/>
      </w:pPr>
      <w:r>
        <w:t>городской округ город Оренбург;</w:t>
      </w:r>
    </w:p>
    <w:p w:rsidR="00B57240" w:rsidRDefault="00B57240">
      <w:pPr>
        <w:pStyle w:val="ConsPlusNormal"/>
        <w:spacing w:before="220"/>
        <w:ind w:firstLine="540"/>
        <w:jc w:val="both"/>
      </w:pPr>
      <w:r>
        <w:lastRenderedPageBreak/>
        <w:t>Абдулинский муниципальный округ;</w:t>
      </w:r>
    </w:p>
    <w:p w:rsidR="00B57240" w:rsidRDefault="00B57240">
      <w:pPr>
        <w:pStyle w:val="ConsPlusNormal"/>
        <w:spacing w:before="220"/>
        <w:ind w:firstLine="540"/>
        <w:jc w:val="both"/>
      </w:pPr>
      <w:r>
        <w:t>Гайский муниципальный округ;</w:t>
      </w:r>
    </w:p>
    <w:p w:rsidR="00B57240" w:rsidRDefault="00B57240">
      <w:pPr>
        <w:pStyle w:val="ConsPlusNormal"/>
        <w:spacing w:before="220"/>
        <w:ind w:firstLine="540"/>
        <w:jc w:val="both"/>
      </w:pPr>
      <w:r>
        <w:t>городской округ город Бугуруслан;</w:t>
      </w:r>
    </w:p>
    <w:p w:rsidR="00B57240" w:rsidRDefault="00B57240">
      <w:pPr>
        <w:pStyle w:val="ConsPlusNormal"/>
        <w:spacing w:before="220"/>
        <w:ind w:firstLine="540"/>
        <w:jc w:val="both"/>
      </w:pPr>
      <w:r>
        <w:t>городской округ город Бузулук;</w:t>
      </w:r>
    </w:p>
    <w:p w:rsidR="00B57240" w:rsidRDefault="00B57240">
      <w:pPr>
        <w:pStyle w:val="ConsPlusNormal"/>
        <w:spacing w:before="220"/>
        <w:ind w:firstLine="540"/>
        <w:jc w:val="both"/>
      </w:pPr>
      <w:r>
        <w:t>городской округ город Медногорск;</w:t>
      </w:r>
    </w:p>
    <w:p w:rsidR="00B57240" w:rsidRDefault="00B57240">
      <w:pPr>
        <w:pStyle w:val="ConsPlusNormal"/>
        <w:spacing w:before="220"/>
        <w:ind w:firstLine="540"/>
        <w:jc w:val="both"/>
      </w:pPr>
      <w:r>
        <w:t>городской округ город Новотроицк;</w:t>
      </w:r>
    </w:p>
    <w:p w:rsidR="00B57240" w:rsidRDefault="00B57240">
      <w:pPr>
        <w:pStyle w:val="ConsPlusNormal"/>
        <w:spacing w:before="220"/>
        <w:ind w:firstLine="540"/>
        <w:jc w:val="both"/>
      </w:pPr>
      <w:r>
        <w:t>городской округ город Орск;</w:t>
      </w:r>
    </w:p>
    <w:p w:rsidR="00B57240" w:rsidRDefault="00B57240">
      <w:pPr>
        <w:pStyle w:val="ConsPlusNormal"/>
        <w:spacing w:before="220"/>
        <w:ind w:firstLine="540"/>
        <w:jc w:val="both"/>
      </w:pPr>
      <w:r>
        <w:t>Кувандыкский муниципальный округ;</w:t>
      </w:r>
    </w:p>
    <w:p w:rsidR="00B57240" w:rsidRDefault="00B57240">
      <w:pPr>
        <w:pStyle w:val="ConsPlusNormal"/>
        <w:spacing w:before="220"/>
        <w:ind w:firstLine="540"/>
        <w:jc w:val="both"/>
      </w:pPr>
      <w:r>
        <w:t>Соль-Илецкий муниципальный округ;</w:t>
      </w:r>
    </w:p>
    <w:p w:rsidR="00B57240" w:rsidRDefault="00B57240">
      <w:pPr>
        <w:pStyle w:val="ConsPlusNormal"/>
        <w:spacing w:before="220"/>
        <w:ind w:firstLine="540"/>
        <w:jc w:val="both"/>
      </w:pPr>
      <w:r>
        <w:t>Сорочинский муниципальный округ;</w:t>
      </w:r>
    </w:p>
    <w:p w:rsidR="00B57240" w:rsidRDefault="00B57240">
      <w:pPr>
        <w:pStyle w:val="ConsPlusNormal"/>
        <w:spacing w:before="220"/>
        <w:ind w:firstLine="540"/>
        <w:jc w:val="both"/>
      </w:pPr>
      <w:r>
        <w:t>Ясненский муниципальный округ;</w:t>
      </w:r>
    </w:p>
    <w:p w:rsidR="00B57240" w:rsidRDefault="00B57240">
      <w:pPr>
        <w:pStyle w:val="ConsPlusNormal"/>
        <w:spacing w:before="220"/>
        <w:ind w:firstLine="540"/>
        <w:jc w:val="both"/>
      </w:pPr>
      <w:r>
        <w:t>Адамовский муниципальный район;</w:t>
      </w:r>
    </w:p>
    <w:p w:rsidR="00B57240" w:rsidRDefault="00B57240">
      <w:pPr>
        <w:pStyle w:val="ConsPlusNormal"/>
        <w:spacing w:before="220"/>
        <w:ind w:firstLine="540"/>
        <w:jc w:val="both"/>
      </w:pPr>
      <w:r>
        <w:t>Акбулакский муниципальный район;</w:t>
      </w:r>
    </w:p>
    <w:p w:rsidR="00B57240" w:rsidRDefault="00B57240">
      <w:pPr>
        <w:pStyle w:val="ConsPlusNormal"/>
        <w:spacing w:before="220"/>
        <w:ind w:firstLine="540"/>
        <w:jc w:val="both"/>
      </w:pPr>
      <w:r>
        <w:t>Александровский муниципальный район;</w:t>
      </w:r>
    </w:p>
    <w:p w:rsidR="00B57240" w:rsidRDefault="00B57240">
      <w:pPr>
        <w:pStyle w:val="ConsPlusNormal"/>
        <w:spacing w:before="220"/>
        <w:ind w:firstLine="540"/>
        <w:jc w:val="both"/>
      </w:pPr>
      <w:r>
        <w:t>Асекеевский муниципальный район;</w:t>
      </w:r>
    </w:p>
    <w:p w:rsidR="00B57240" w:rsidRDefault="00B57240">
      <w:pPr>
        <w:pStyle w:val="ConsPlusNormal"/>
        <w:spacing w:before="220"/>
        <w:ind w:firstLine="540"/>
        <w:jc w:val="both"/>
      </w:pPr>
      <w:r>
        <w:t>Беляевский муниципальный район;</w:t>
      </w:r>
    </w:p>
    <w:p w:rsidR="00B57240" w:rsidRDefault="00B57240">
      <w:pPr>
        <w:pStyle w:val="ConsPlusNormal"/>
        <w:spacing w:before="220"/>
        <w:ind w:firstLine="540"/>
        <w:jc w:val="both"/>
      </w:pPr>
      <w:r>
        <w:t>Бугурусланский муниципальный район;</w:t>
      </w:r>
    </w:p>
    <w:p w:rsidR="00B57240" w:rsidRDefault="00B57240">
      <w:pPr>
        <w:pStyle w:val="ConsPlusNormal"/>
        <w:spacing w:before="220"/>
        <w:ind w:firstLine="540"/>
        <w:jc w:val="both"/>
      </w:pPr>
      <w:r>
        <w:t>Бузулукский муниципальный район;</w:t>
      </w:r>
    </w:p>
    <w:p w:rsidR="00B57240" w:rsidRDefault="00B57240">
      <w:pPr>
        <w:pStyle w:val="ConsPlusNormal"/>
        <w:spacing w:before="220"/>
        <w:ind w:firstLine="540"/>
        <w:jc w:val="both"/>
      </w:pPr>
      <w:r>
        <w:t>Грачевский муниципальный район;</w:t>
      </w:r>
    </w:p>
    <w:p w:rsidR="00B57240" w:rsidRDefault="00B57240">
      <w:pPr>
        <w:pStyle w:val="ConsPlusNormal"/>
        <w:spacing w:before="220"/>
        <w:ind w:firstLine="540"/>
        <w:jc w:val="both"/>
      </w:pPr>
      <w:r>
        <w:t>Домбаровский муниципальный район;</w:t>
      </w:r>
    </w:p>
    <w:p w:rsidR="00B57240" w:rsidRDefault="00B57240">
      <w:pPr>
        <w:pStyle w:val="ConsPlusNormal"/>
        <w:spacing w:before="220"/>
        <w:ind w:firstLine="540"/>
        <w:jc w:val="both"/>
      </w:pPr>
      <w:r>
        <w:t>Илекский муниципальный район;</w:t>
      </w:r>
    </w:p>
    <w:p w:rsidR="00B57240" w:rsidRDefault="00B57240">
      <w:pPr>
        <w:pStyle w:val="ConsPlusNormal"/>
        <w:spacing w:before="220"/>
        <w:ind w:firstLine="540"/>
        <w:jc w:val="both"/>
      </w:pPr>
      <w:r>
        <w:t>Кваркенский муниципальный район;</w:t>
      </w:r>
    </w:p>
    <w:p w:rsidR="00B57240" w:rsidRDefault="00B57240">
      <w:pPr>
        <w:pStyle w:val="ConsPlusNormal"/>
        <w:spacing w:before="220"/>
        <w:ind w:firstLine="540"/>
        <w:jc w:val="both"/>
      </w:pPr>
      <w:r>
        <w:t>Красногвардейский муниципальный район;</w:t>
      </w:r>
    </w:p>
    <w:p w:rsidR="00B57240" w:rsidRDefault="00B57240">
      <w:pPr>
        <w:pStyle w:val="ConsPlusNormal"/>
        <w:spacing w:before="220"/>
        <w:ind w:firstLine="540"/>
        <w:jc w:val="both"/>
      </w:pPr>
      <w:r>
        <w:t>Курманаевский муниципальный район;</w:t>
      </w:r>
    </w:p>
    <w:p w:rsidR="00B57240" w:rsidRDefault="00B57240">
      <w:pPr>
        <w:pStyle w:val="ConsPlusNormal"/>
        <w:spacing w:before="220"/>
        <w:ind w:firstLine="540"/>
        <w:jc w:val="both"/>
      </w:pPr>
      <w:r>
        <w:t>Матвеевский муниципальный район;</w:t>
      </w:r>
    </w:p>
    <w:p w:rsidR="00B57240" w:rsidRDefault="00B57240">
      <w:pPr>
        <w:pStyle w:val="ConsPlusNormal"/>
        <w:spacing w:before="220"/>
        <w:ind w:firstLine="540"/>
        <w:jc w:val="both"/>
      </w:pPr>
      <w:r>
        <w:t>Новоорский муниципальный район;</w:t>
      </w:r>
    </w:p>
    <w:p w:rsidR="00B57240" w:rsidRDefault="00B57240">
      <w:pPr>
        <w:pStyle w:val="ConsPlusNormal"/>
        <w:spacing w:before="220"/>
        <w:ind w:firstLine="540"/>
        <w:jc w:val="both"/>
      </w:pPr>
      <w:r>
        <w:t>Новосергиевский муниципальный район;</w:t>
      </w:r>
    </w:p>
    <w:p w:rsidR="00B57240" w:rsidRDefault="00B57240">
      <w:pPr>
        <w:pStyle w:val="ConsPlusNormal"/>
        <w:spacing w:before="220"/>
        <w:ind w:firstLine="540"/>
        <w:jc w:val="both"/>
      </w:pPr>
      <w:r>
        <w:t>Октябрьский муниципальный район;</w:t>
      </w:r>
    </w:p>
    <w:p w:rsidR="00B57240" w:rsidRDefault="00B57240">
      <w:pPr>
        <w:pStyle w:val="ConsPlusNormal"/>
        <w:spacing w:before="220"/>
        <w:ind w:firstLine="540"/>
        <w:jc w:val="both"/>
      </w:pPr>
      <w:r>
        <w:t>Оренбургский муниципальный район;</w:t>
      </w:r>
    </w:p>
    <w:p w:rsidR="00B57240" w:rsidRDefault="00B57240">
      <w:pPr>
        <w:pStyle w:val="ConsPlusNormal"/>
        <w:spacing w:before="220"/>
        <w:ind w:firstLine="540"/>
        <w:jc w:val="both"/>
      </w:pPr>
      <w:r>
        <w:t>Первомайский муниципальный район;</w:t>
      </w:r>
    </w:p>
    <w:p w:rsidR="00B57240" w:rsidRDefault="00B57240">
      <w:pPr>
        <w:pStyle w:val="ConsPlusNormal"/>
        <w:spacing w:before="220"/>
        <w:ind w:firstLine="540"/>
        <w:jc w:val="both"/>
      </w:pPr>
      <w:r>
        <w:lastRenderedPageBreak/>
        <w:t>Переволоцкий муниципальный район;</w:t>
      </w:r>
    </w:p>
    <w:p w:rsidR="00B57240" w:rsidRDefault="00B57240">
      <w:pPr>
        <w:pStyle w:val="ConsPlusNormal"/>
        <w:spacing w:before="220"/>
        <w:ind w:firstLine="540"/>
        <w:jc w:val="both"/>
      </w:pPr>
      <w:r>
        <w:t>Пономаревский муниципальный район;</w:t>
      </w:r>
    </w:p>
    <w:p w:rsidR="00B57240" w:rsidRDefault="00B57240">
      <w:pPr>
        <w:pStyle w:val="ConsPlusNormal"/>
        <w:spacing w:before="220"/>
        <w:ind w:firstLine="540"/>
        <w:jc w:val="both"/>
      </w:pPr>
      <w:r>
        <w:t>Сакмарский муниципальный район;</w:t>
      </w:r>
    </w:p>
    <w:p w:rsidR="00B57240" w:rsidRDefault="00B57240">
      <w:pPr>
        <w:pStyle w:val="ConsPlusNormal"/>
        <w:spacing w:before="220"/>
        <w:ind w:firstLine="540"/>
        <w:jc w:val="both"/>
      </w:pPr>
      <w:r>
        <w:t>Саракташский муниципальный район;</w:t>
      </w:r>
    </w:p>
    <w:p w:rsidR="00B57240" w:rsidRDefault="00B57240">
      <w:pPr>
        <w:pStyle w:val="ConsPlusNormal"/>
        <w:spacing w:before="220"/>
        <w:ind w:firstLine="540"/>
        <w:jc w:val="both"/>
      </w:pPr>
      <w:r>
        <w:t>Светлинский муниципальный район;</w:t>
      </w:r>
    </w:p>
    <w:p w:rsidR="00B57240" w:rsidRDefault="00B57240">
      <w:pPr>
        <w:pStyle w:val="ConsPlusNormal"/>
        <w:spacing w:before="220"/>
        <w:ind w:firstLine="540"/>
        <w:jc w:val="both"/>
      </w:pPr>
      <w:r>
        <w:t>Северный муниципальный район;</w:t>
      </w:r>
    </w:p>
    <w:p w:rsidR="00B57240" w:rsidRDefault="00B57240">
      <w:pPr>
        <w:pStyle w:val="ConsPlusNormal"/>
        <w:spacing w:before="220"/>
        <w:ind w:firstLine="540"/>
        <w:jc w:val="both"/>
      </w:pPr>
      <w:r>
        <w:t>Ташлинский муниципальный район;</w:t>
      </w:r>
    </w:p>
    <w:p w:rsidR="00B57240" w:rsidRDefault="00B57240">
      <w:pPr>
        <w:pStyle w:val="ConsPlusNormal"/>
        <w:spacing w:before="220"/>
        <w:ind w:firstLine="540"/>
        <w:jc w:val="both"/>
      </w:pPr>
      <w:r>
        <w:t>Тоцкий муниципальный район;</w:t>
      </w:r>
    </w:p>
    <w:p w:rsidR="00B57240" w:rsidRDefault="00B57240">
      <w:pPr>
        <w:pStyle w:val="ConsPlusNormal"/>
        <w:spacing w:before="220"/>
        <w:ind w:firstLine="540"/>
        <w:jc w:val="both"/>
      </w:pPr>
      <w:r>
        <w:t>Тюльганский муниципальный район;</w:t>
      </w:r>
    </w:p>
    <w:p w:rsidR="00B57240" w:rsidRDefault="00B57240">
      <w:pPr>
        <w:pStyle w:val="ConsPlusNormal"/>
        <w:spacing w:before="220"/>
        <w:ind w:firstLine="540"/>
        <w:jc w:val="both"/>
      </w:pPr>
      <w:r>
        <w:t>Шарлыкский муниципальный район.</w:t>
      </w:r>
    </w:p>
    <w:p w:rsidR="00B57240" w:rsidRDefault="00B57240">
      <w:pPr>
        <w:pStyle w:val="ConsPlusNormal"/>
        <w:jc w:val="both"/>
      </w:pPr>
    </w:p>
    <w:p w:rsidR="00B57240" w:rsidRDefault="00B57240">
      <w:pPr>
        <w:pStyle w:val="ConsPlusTitle"/>
        <w:ind w:firstLine="540"/>
        <w:jc w:val="both"/>
        <w:outlineLvl w:val="0"/>
      </w:pPr>
      <w:r>
        <w:t>Статья 2-3. Проведение оценки регулирующего воздействия проектов муниципальных актов и экспертизы муниципальных актов иных муниципальных образований Оренбургской области</w:t>
      </w:r>
    </w:p>
    <w:p w:rsidR="00B57240" w:rsidRDefault="00B57240">
      <w:pPr>
        <w:pStyle w:val="ConsPlusNormal"/>
        <w:ind w:firstLine="540"/>
        <w:jc w:val="both"/>
      </w:pPr>
    </w:p>
    <w:p w:rsidR="00B57240" w:rsidRDefault="00B57240">
      <w:pPr>
        <w:pStyle w:val="ConsPlusNormal"/>
        <w:ind w:firstLine="540"/>
        <w:jc w:val="both"/>
      </w:pPr>
      <w:r>
        <w:t>(</w:t>
      </w:r>
      <w:proofErr w:type="gramStart"/>
      <w:r>
        <w:t>введена</w:t>
      </w:r>
      <w:proofErr w:type="gramEnd"/>
      <w:r>
        <w:t xml:space="preserve"> </w:t>
      </w:r>
      <w:hyperlink r:id="rId21">
        <w:r>
          <w:rPr>
            <w:color w:val="0000FF"/>
          </w:rPr>
          <w:t>Законом</w:t>
        </w:r>
      </w:hyperlink>
      <w:r>
        <w:t xml:space="preserve"> Оренбургской области от 05.09.2016 N 4029/1098-V-ОЗ)</w:t>
      </w:r>
    </w:p>
    <w:p w:rsidR="00B57240" w:rsidRDefault="00B57240">
      <w:pPr>
        <w:pStyle w:val="ConsPlusNormal"/>
        <w:jc w:val="both"/>
      </w:pPr>
    </w:p>
    <w:p w:rsidR="00B57240" w:rsidRDefault="00B57240">
      <w:pPr>
        <w:pStyle w:val="ConsPlusNormal"/>
        <w:ind w:firstLine="540"/>
        <w:jc w:val="both"/>
      </w:pPr>
      <w:r>
        <w:t xml:space="preserve">1. Проекты муниципальных актов иных муниципальных образований Оренбургской области, не указанных в </w:t>
      </w:r>
      <w:hyperlink w:anchor="P53">
        <w:r>
          <w:rPr>
            <w:color w:val="0000FF"/>
          </w:rPr>
          <w:t>статье 2-2</w:t>
        </w:r>
      </w:hyperlink>
      <w:r>
        <w:t xml:space="preserve"> настоящего Закона,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настоящим Законом.</w:t>
      </w:r>
    </w:p>
    <w:p w:rsidR="00B57240" w:rsidRDefault="00B57240">
      <w:pPr>
        <w:pStyle w:val="ConsPlusNormal"/>
        <w:spacing w:before="220"/>
        <w:ind w:firstLine="540"/>
        <w:jc w:val="both"/>
      </w:pPr>
      <w:r>
        <w:t xml:space="preserve">2. Муниципальные акты иных муниципальных образований Оренбургской области, не указанных в </w:t>
      </w:r>
      <w:hyperlink w:anchor="P53">
        <w:r>
          <w:rPr>
            <w:color w:val="0000FF"/>
          </w:rPr>
          <w:t>статье 2-2</w:t>
        </w:r>
      </w:hyperlink>
      <w:r>
        <w:t xml:space="preserve"> настоящего Закона,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настоящим Законом.</w:t>
      </w:r>
    </w:p>
    <w:p w:rsidR="00B57240" w:rsidRDefault="00B57240">
      <w:pPr>
        <w:pStyle w:val="ConsPlusNormal"/>
        <w:jc w:val="both"/>
      </w:pPr>
    </w:p>
    <w:p w:rsidR="00B57240" w:rsidRDefault="00B57240">
      <w:pPr>
        <w:pStyle w:val="ConsPlusTitle"/>
        <w:ind w:firstLine="540"/>
        <w:jc w:val="both"/>
        <w:outlineLvl w:val="0"/>
      </w:pPr>
      <w:r>
        <w:t xml:space="preserve">Статья 3. Порядок </w:t>
      </w:r>
      <w:proofErr w:type="gramStart"/>
      <w:r>
        <w:t>проведения оценки регулирующего воздействия проектов муниципальных актов</w:t>
      </w:r>
      <w:proofErr w:type="gramEnd"/>
    </w:p>
    <w:p w:rsidR="00B57240" w:rsidRDefault="00B57240">
      <w:pPr>
        <w:pStyle w:val="ConsPlusNormal"/>
        <w:jc w:val="both"/>
      </w:pPr>
    </w:p>
    <w:p w:rsidR="00B57240" w:rsidRDefault="00B57240">
      <w:pPr>
        <w:pStyle w:val="ConsPlusNormal"/>
        <w:ind w:firstLine="540"/>
        <w:jc w:val="both"/>
      </w:pPr>
      <w:r>
        <w:t>1. Оценка регулирующего воздействия проектов муниципальных актов проводится органами местного самоуправления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57240" w:rsidRDefault="00B57240">
      <w:pPr>
        <w:pStyle w:val="ConsPlusNormal"/>
        <w:jc w:val="both"/>
      </w:pPr>
      <w:r>
        <w:t>(</w:t>
      </w:r>
      <w:proofErr w:type="gramStart"/>
      <w:r>
        <w:t>ч</w:t>
      </w:r>
      <w:proofErr w:type="gramEnd"/>
      <w:r>
        <w:t xml:space="preserve">асть 1 в ред. </w:t>
      </w:r>
      <w:hyperlink r:id="rId22">
        <w:r>
          <w:rPr>
            <w:color w:val="0000FF"/>
          </w:rPr>
          <w:t>Закона</w:t>
        </w:r>
      </w:hyperlink>
      <w:r>
        <w:t xml:space="preserve"> Оренбургской области от 07.12.2021 N 115/50-VII-ОЗ)</w:t>
      </w:r>
    </w:p>
    <w:p w:rsidR="00B57240" w:rsidRDefault="00B57240">
      <w:pPr>
        <w:pStyle w:val="ConsPlusNormal"/>
        <w:spacing w:before="220"/>
        <w:ind w:firstLine="540"/>
        <w:jc w:val="both"/>
      </w:pPr>
      <w:r>
        <w:t xml:space="preserve">2. Порядок </w:t>
      </w:r>
      <w:proofErr w:type="gramStart"/>
      <w:r>
        <w:t>проведения оценки регулирующего воздействия проектов муниципальных актов</w:t>
      </w:r>
      <w:proofErr w:type="gramEnd"/>
      <w:r>
        <w:t xml:space="preserve"> должен предусматривать:</w:t>
      </w:r>
    </w:p>
    <w:p w:rsidR="00B57240" w:rsidRDefault="00B57240">
      <w:pPr>
        <w:pStyle w:val="ConsPlusNormal"/>
        <w:spacing w:before="220"/>
        <w:ind w:firstLine="540"/>
        <w:jc w:val="both"/>
      </w:pPr>
      <w:proofErr w:type="gramStart"/>
      <w:r>
        <w:t>1) определение органа (органов) и (или) должностного лица (должностных лиц) органа местного самоуправления, ответственного (ответственных) за размещение уведомления, составление сводного отчета, проведение публичных консультаций по проекту муниципального акта и сводному отчету, подготовку заключения об оценке регулирующего воздействия проекта муниципального акта;</w:t>
      </w:r>
      <w:proofErr w:type="gramEnd"/>
    </w:p>
    <w:p w:rsidR="00B57240" w:rsidRDefault="00B57240">
      <w:pPr>
        <w:pStyle w:val="ConsPlusNormal"/>
        <w:spacing w:before="220"/>
        <w:ind w:firstLine="540"/>
        <w:jc w:val="both"/>
      </w:pPr>
      <w:r>
        <w:lastRenderedPageBreak/>
        <w:t>2) размещение уведомления о подготовке проекта муниципального акта в средствах массовой информации и (или) на специализированном информационном ресурсе Оренбургской области, утвержденном Правительством Оренбургской области, и (или) на официальном сайте муниципального образования в сети "Интернет";</w:t>
      </w:r>
    </w:p>
    <w:p w:rsidR="00B57240" w:rsidRDefault="00B57240">
      <w:pPr>
        <w:pStyle w:val="ConsPlusNormal"/>
        <w:jc w:val="both"/>
      </w:pPr>
      <w:r>
        <w:t xml:space="preserve">(п. 2 в ред. </w:t>
      </w:r>
      <w:hyperlink r:id="rId23">
        <w:r>
          <w:rPr>
            <w:color w:val="0000FF"/>
          </w:rPr>
          <w:t>Закона</w:t>
        </w:r>
      </w:hyperlink>
      <w:r>
        <w:t xml:space="preserve"> Оренбургской области от 05.09.2016 N 4029/1098-V-ОЗ)</w:t>
      </w:r>
    </w:p>
    <w:p w:rsidR="00B57240" w:rsidRDefault="00B57240">
      <w:pPr>
        <w:pStyle w:val="ConsPlusNormal"/>
        <w:spacing w:before="220"/>
        <w:ind w:firstLine="540"/>
        <w:jc w:val="both"/>
      </w:pPr>
      <w:r>
        <w:t>3) проведение публичных консультаций по проекту муниципального акта и сводному отчету;</w:t>
      </w:r>
    </w:p>
    <w:p w:rsidR="00B57240" w:rsidRDefault="00B57240">
      <w:pPr>
        <w:pStyle w:val="ConsPlusNormal"/>
        <w:spacing w:before="220"/>
        <w:ind w:firstLine="540"/>
        <w:jc w:val="both"/>
      </w:pPr>
      <w:r>
        <w:t>4) составление сводного отчета о проведении оценки регулирующего воздействия проекта муниципального акта (далее - сводный отчет).</w:t>
      </w:r>
    </w:p>
    <w:p w:rsidR="00B57240" w:rsidRDefault="00B57240">
      <w:pPr>
        <w:pStyle w:val="ConsPlusNormal"/>
        <w:spacing w:before="220"/>
        <w:ind w:firstLine="540"/>
        <w:jc w:val="both"/>
      </w:pPr>
      <w:r>
        <w:t>3. Форма сводного отчета и форма заключения об оценке регулирующего воздействия проекта муниципального акта утверждаются органами местного самоуправления.</w:t>
      </w:r>
    </w:p>
    <w:p w:rsidR="00B57240" w:rsidRDefault="00B57240">
      <w:pPr>
        <w:pStyle w:val="ConsPlusNormal"/>
        <w:spacing w:before="220"/>
        <w:ind w:firstLine="540"/>
        <w:jc w:val="both"/>
      </w:pPr>
      <w:r>
        <w:t>4. В заключении об оценке регулирующего воздействия проекта муниципального акта должны содержаться выводы:</w:t>
      </w:r>
    </w:p>
    <w:p w:rsidR="00B57240" w:rsidRDefault="00B57240">
      <w:pPr>
        <w:pStyle w:val="ConsPlusNormal"/>
        <w:spacing w:before="220"/>
        <w:ind w:firstLine="540"/>
        <w:jc w:val="both"/>
      </w:pPr>
      <w:r>
        <w:t xml:space="preserve">1) о соответствии </w:t>
      </w:r>
      <w:proofErr w:type="gramStart"/>
      <w:r>
        <w:t>качества проведения процедуры оценки регулирующего воздействия проекта муниципального акта</w:t>
      </w:r>
      <w:proofErr w:type="gramEnd"/>
      <w:r>
        <w:t xml:space="preserve"> и подготовки сводного отчета требованиям порядка проведения оценки регулирующего воздействия проектов муниципальных актов, установленного в соответствии с настоящей статьей;</w:t>
      </w:r>
    </w:p>
    <w:p w:rsidR="00B57240" w:rsidRDefault="00B57240">
      <w:pPr>
        <w:pStyle w:val="ConsPlusNormal"/>
        <w:spacing w:before="220"/>
        <w:ind w:firstLine="540"/>
        <w:jc w:val="both"/>
      </w:pPr>
      <w:r>
        <w:t>2) об отсутствии либо наличии достаточного обоснования решения проблемы предложенным способом правового регулирования;</w:t>
      </w:r>
    </w:p>
    <w:p w:rsidR="00B57240" w:rsidRDefault="00B57240">
      <w:pPr>
        <w:pStyle w:val="ConsPlusNormal"/>
        <w:spacing w:before="220"/>
        <w:ind w:firstLine="540"/>
        <w:jc w:val="both"/>
      </w:pPr>
      <w:r>
        <w:t>3) об отсутствии либо наличии в проекте муниципального акта положений, которые вводят избыточные обязанности, запреты и ограничения для субъектов предпринимательской и иной экономической деятельности или способствуют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57240" w:rsidRDefault="00B57240">
      <w:pPr>
        <w:pStyle w:val="ConsPlusNormal"/>
        <w:jc w:val="both"/>
      </w:pPr>
      <w:r>
        <w:t xml:space="preserve">(п. 3 в ред. </w:t>
      </w:r>
      <w:hyperlink r:id="rId24">
        <w:r>
          <w:rPr>
            <w:color w:val="0000FF"/>
          </w:rPr>
          <w:t>Закона</w:t>
        </w:r>
      </w:hyperlink>
      <w:r>
        <w:t xml:space="preserve"> Оренбургской области от 07.12.2021 N 115/50-VII-ОЗ)</w:t>
      </w:r>
    </w:p>
    <w:p w:rsidR="00B57240" w:rsidRDefault="00B57240">
      <w:pPr>
        <w:pStyle w:val="ConsPlusNormal"/>
        <w:jc w:val="both"/>
      </w:pPr>
    </w:p>
    <w:p w:rsidR="00B57240" w:rsidRDefault="00B57240">
      <w:pPr>
        <w:pStyle w:val="ConsPlusTitle"/>
        <w:ind w:firstLine="540"/>
        <w:jc w:val="both"/>
        <w:outlineLvl w:val="0"/>
      </w:pPr>
      <w:r>
        <w:t>Статья 4. Порядок проведения экспертизы муниципальных актов</w:t>
      </w:r>
    </w:p>
    <w:p w:rsidR="00B57240" w:rsidRDefault="00B57240">
      <w:pPr>
        <w:pStyle w:val="ConsPlusNormal"/>
        <w:jc w:val="both"/>
      </w:pPr>
    </w:p>
    <w:p w:rsidR="00B57240" w:rsidRDefault="00B57240">
      <w:pPr>
        <w:pStyle w:val="ConsPlusNormal"/>
        <w:ind w:firstLine="540"/>
        <w:jc w:val="both"/>
      </w:pPr>
      <w:r>
        <w:t>1. Экспертиза муниципальных актов проводится органами местного самоуправления в порядке, установленном муниципальными нормативными правовыми актами, в целях выявления положений, необоснованно затрудняющих осуществление предпринимательской и инвестиционной деятельности.</w:t>
      </w:r>
    </w:p>
    <w:p w:rsidR="00B57240" w:rsidRDefault="00B57240">
      <w:pPr>
        <w:pStyle w:val="ConsPlusNormal"/>
        <w:spacing w:before="220"/>
        <w:ind w:firstLine="540"/>
        <w:jc w:val="both"/>
      </w:pPr>
      <w:r>
        <w:t>2. Порядок проведения экспертизы муниципальных актов должен предусматривать:</w:t>
      </w:r>
    </w:p>
    <w:p w:rsidR="00B57240" w:rsidRDefault="00B57240">
      <w:pPr>
        <w:pStyle w:val="ConsPlusNormal"/>
        <w:spacing w:before="220"/>
        <w:ind w:firstLine="540"/>
        <w:jc w:val="both"/>
      </w:pPr>
      <w:r>
        <w:t>1) определение органа (органов) и (или) должностного лица (должностных лиц) местного самоуправления, ответственного (ответственных) за проведение публичных консультаций по муниципальному акту и подготовку отчета о результатах публичных консультаций, исследование муниципального акта на предмет наличия положений, необоснованно затрудняющих осуществление предпринимательской и инвестиционной деятельности, подготовку заключения по результатам исследования муниципального акта;</w:t>
      </w:r>
    </w:p>
    <w:p w:rsidR="00B57240" w:rsidRDefault="00B57240">
      <w:pPr>
        <w:pStyle w:val="ConsPlusNormal"/>
        <w:spacing w:before="220"/>
        <w:ind w:firstLine="540"/>
        <w:jc w:val="both"/>
      </w:pPr>
      <w:r>
        <w:t>2) планирование работы по проведению экспертизы муниципальных актов;</w:t>
      </w:r>
    </w:p>
    <w:p w:rsidR="00B57240" w:rsidRDefault="00B57240">
      <w:pPr>
        <w:pStyle w:val="ConsPlusNormal"/>
        <w:spacing w:before="220"/>
        <w:ind w:firstLine="540"/>
        <w:jc w:val="both"/>
      </w:pPr>
      <w:r>
        <w:t>3) проведение публичных консультаций по муниципальному акту и подготовку отчета о результатах публичных консультаций;</w:t>
      </w:r>
    </w:p>
    <w:p w:rsidR="00B57240" w:rsidRDefault="00B57240">
      <w:pPr>
        <w:pStyle w:val="ConsPlusNormal"/>
        <w:spacing w:before="220"/>
        <w:ind w:firstLine="540"/>
        <w:jc w:val="both"/>
      </w:pPr>
      <w:r>
        <w:t>4) исследование муниципального акта на предмет наличия положений, необоснованно затрудняющих осуществление предпринимательской и инвестиционной деятельности;</w:t>
      </w:r>
    </w:p>
    <w:p w:rsidR="00B57240" w:rsidRDefault="00B57240">
      <w:pPr>
        <w:pStyle w:val="ConsPlusNormal"/>
        <w:spacing w:before="220"/>
        <w:ind w:firstLine="540"/>
        <w:jc w:val="both"/>
      </w:pPr>
      <w:r>
        <w:lastRenderedPageBreak/>
        <w:t>5) подготовку заключения по результатам исследования муниципального акта.</w:t>
      </w:r>
    </w:p>
    <w:p w:rsidR="00B57240" w:rsidRDefault="00B57240">
      <w:pPr>
        <w:pStyle w:val="ConsPlusNormal"/>
        <w:spacing w:before="220"/>
        <w:ind w:firstLine="540"/>
        <w:jc w:val="both"/>
      </w:pPr>
      <w:r>
        <w:t>3. Форма заключения по результатам исследования муниципального акта утверждается органами местного самоуправления.</w:t>
      </w:r>
    </w:p>
    <w:p w:rsidR="00B57240" w:rsidRDefault="00B57240">
      <w:pPr>
        <w:pStyle w:val="ConsPlusNormal"/>
        <w:spacing w:before="220"/>
        <w:ind w:firstLine="540"/>
        <w:jc w:val="both"/>
      </w:pPr>
      <w:r>
        <w:t>4. В заключении по результатам исследования муниципального акта должны содержаться выводы об отсутствии либо наличии в муниципальном акте положений, необоснованно затрудняющих осуществление предпринимательской и инвестиционной деятельности.</w:t>
      </w:r>
    </w:p>
    <w:p w:rsidR="00B57240" w:rsidRDefault="00B57240">
      <w:pPr>
        <w:pStyle w:val="ConsPlusNormal"/>
        <w:spacing w:before="220"/>
        <w:ind w:firstLine="540"/>
        <w:jc w:val="both"/>
      </w:pPr>
      <w:r>
        <w:t>В случае</w:t>
      </w:r>
      <w:proofErr w:type="gramStart"/>
      <w:r>
        <w:t>,</w:t>
      </w:r>
      <w:proofErr w:type="gramEnd"/>
      <w:r>
        <w:t xml:space="preserve"> если в заключении по результатам исследования муниципального акта сделаны выводы о наличии в муниципальном акте положений, необоснованно затрудняющих осуществление предпринимательской и инвестиционной деятельности, оно должно содержать обоснование указанных выводов и предложения о способах устранения указанных положений (предложения об отмене или изменении муниципального акта или его отдельных положений) либо обоснование сохранения указанных положений в муниципальном акте.</w:t>
      </w:r>
    </w:p>
    <w:p w:rsidR="00B57240" w:rsidRDefault="00B57240">
      <w:pPr>
        <w:pStyle w:val="ConsPlusNormal"/>
        <w:jc w:val="both"/>
      </w:pPr>
    </w:p>
    <w:p w:rsidR="00B57240" w:rsidRDefault="00B57240">
      <w:pPr>
        <w:pStyle w:val="ConsPlusTitle"/>
        <w:ind w:firstLine="540"/>
        <w:jc w:val="both"/>
        <w:outlineLvl w:val="0"/>
      </w:pPr>
      <w:r>
        <w:t>Статья 5. Вступление в силу настоящего Закона</w:t>
      </w:r>
    </w:p>
    <w:p w:rsidR="00B57240" w:rsidRDefault="00B57240">
      <w:pPr>
        <w:pStyle w:val="ConsPlusNormal"/>
        <w:jc w:val="both"/>
      </w:pPr>
    </w:p>
    <w:p w:rsidR="00B57240" w:rsidRDefault="00B57240">
      <w:pPr>
        <w:pStyle w:val="ConsPlusNormal"/>
        <w:ind w:firstLine="540"/>
        <w:jc w:val="both"/>
      </w:pPr>
      <w:r>
        <w:t>Настоящий Закон вступает в силу после его официального опубликования и применяется в отношении:</w:t>
      </w:r>
    </w:p>
    <w:p w:rsidR="00B57240" w:rsidRDefault="00B57240">
      <w:pPr>
        <w:pStyle w:val="ConsPlusNormal"/>
        <w:spacing w:before="220"/>
        <w:ind w:firstLine="540"/>
        <w:jc w:val="both"/>
      </w:pPr>
      <w:r>
        <w:t>городского округа город Оренбург - с 1 января 2015 года;</w:t>
      </w:r>
    </w:p>
    <w:p w:rsidR="00B57240" w:rsidRDefault="00B57240">
      <w:pPr>
        <w:pStyle w:val="ConsPlusNormal"/>
        <w:spacing w:before="220"/>
        <w:ind w:firstLine="540"/>
        <w:jc w:val="both"/>
      </w:pPr>
      <w:r>
        <w:t xml:space="preserve">Абзацы третий - четвертый утратили силу. - </w:t>
      </w:r>
      <w:hyperlink r:id="rId25">
        <w:r>
          <w:rPr>
            <w:color w:val="0000FF"/>
          </w:rPr>
          <w:t>Закон</w:t>
        </w:r>
      </w:hyperlink>
      <w:r>
        <w:t xml:space="preserve"> Оренбургской области от 05.09.2016 N 4029/1098-V-ОЗ.</w:t>
      </w:r>
    </w:p>
    <w:p w:rsidR="00B57240" w:rsidRDefault="00B57240">
      <w:pPr>
        <w:pStyle w:val="ConsPlusNormal"/>
        <w:jc w:val="both"/>
      </w:pPr>
    </w:p>
    <w:p w:rsidR="00B57240" w:rsidRDefault="00B57240">
      <w:pPr>
        <w:pStyle w:val="ConsPlusNormal"/>
        <w:jc w:val="right"/>
      </w:pPr>
      <w:r>
        <w:t>Губернатор</w:t>
      </w:r>
    </w:p>
    <w:p w:rsidR="00B57240" w:rsidRDefault="00B57240">
      <w:pPr>
        <w:pStyle w:val="ConsPlusNormal"/>
        <w:jc w:val="right"/>
      </w:pPr>
      <w:r>
        <w:t>Оренбургской области</w:t>
      </w:r>
    </w:p>
    <w:p w:rsidR="00B57240" w:rsidRDefault="00B57240">
      <w:pPr>
        <w:pStyle w:val="ConsPlusNormal"/>
        <w:jc w:val="right"/>
      </w:pPr>
      <w:r>
        <w:t>Ю.А.БЕРГ</w:t>
      </w:r>
    </w:p>
    <w:p w:rsidR="00B57240" w:rsidRDefault="00B57240">
      <w:pPr>
        <w:pStyle w:val="ConsPlusNormal"/>
      </w:pPr>
      <w:r>
        <w:t>г. Оренбург, Дом Советов</w:t>
      </w:r>
    </w:p>
    <w:p w:rsidR="00B57240" w:rsidRDefault="00B57240">
      <w:pPr>
        <w:pStyle w:val="ConsPlusNormal"/>
        <w:spacing w:before="220"/>
      </w:pPr>
      <w:r>
        <w:t>12 ноября 2014 года</w:t>
      </w:r>
    </w:p>
    <w:p w:rsidR="00B57240" w:rsidRDefault="00B57240">
      <w:pPr>
        <w:pStyle w:val="ConsPlusNormal"/>
        <w:spacing w:before="220"/>
      </w:pPr>
      <w:r>
        <w:t>N 2712/766-V-ОЗ</w:t>
      </w:r>
    </w:p>
    <w:p w:rsidR="00B57240" w:rsidRDefault="00B57240">
      <w:pPr>
        <w:pStyle w:val="ConsPlusNormal"/>
        <w:jc w:val="both"/>
      </w:pPr>
    </w:p>
    <w:p w:rsidR="00B57240" w:rsidRDefault="00B57240">
      <w:pPr>
        <w:pStyle w:val="ConsPlusNormal"/>
        <w:jc w:val="both"/>
      </w:pPr>
    </w:p>
    <w:p w:rsidR="00B57240" w:rsidRDefault="00B57240">
      <w:pPr>
        <w:pStyle w:val="ConsPlusNormal"/>
        <w:pBdr>
          <w:bottom w:val="single" w:sz="6" w:space="0" w:color="auto"/>
        </w:pBdr>
        <w:spacing w:before="100" w:after="100"/>
        <w:jc w:val="both"/>
        <w:rPr>
          <w:sz w:val="2"/>
          <w:szCs w:val="2"/>
        </w:rPr>
      </w:pPr>
    </w:p>
    <w:p w:rsidR="00A74422" w:rsidRDefault="00A74422">
      <w:bookmarkStart w:id="1" w:name="_GoBack"/>
      <w:bookmarkEnd w:id="1"/>
    </w:p>
    <w:sectPr w:rsidR="00A74422" w:rsidSect="008D7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40"/>
    <w:rsid w:val="0098341E"/>
    <w:rsid w:val="00A74422"/>
    <w:rsid w:val="00B5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72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724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72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724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90&amp;n=71292&amp;dst=100008" TargetMode="External"/><Relationship Id="rId13" Type="http://schemas.openxmlformats.org/officeDocument/2006/relationships/hyperlink" Target="https://login.consultant.ru/link/?req=doc&amp;base=LAW&amp;n=480999&amp;dst=101307" TargetMode="External"/><Relationship Id="rId18" Type="http://schemas.openxmlformats.org/officeDocument/2006/relationships/hyperlink" Target="https://login.consultant.ru/link/?req=doc&amp;base=LAW&amp;n=48099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390&amp;n=71292&amp;dst=100068" TargetMode="External"/><Relationship Id="rId7" Type="http://schemas.openxmlformats.org/officeDocument/2006/relationships/hyperlink" Target="https://login.consultant.ru/link/?req=doc&amp;base=RLAW390&amp;n=68884&amp;dst=100008" TargetMode="External"/><Relationship Id="rId12" Type="http://schemas.openxmlformats.org/officeDocument/2006/relationships/hyperlink" Target="https://login.consultant.ru/link/?req=doc&amp;base=LAW&amp;n=480999&amp;dst=101321" TargetMode="External"/><Relationship Id="rId17" Type="http://schemas.openxmlformats.org/officeDocument/2006/relationships/hyperlink" Target="https://login.consultant.ru/link/?req=doc&amp;base=RLAW390&amp;n=106474&amp;dst=100008" TargetMode="External"/><Relationship Id="rId25" Type="http://schemas.openxmlformats.org/officeDocument/2006/relationships/hyperlink" Target="https://login.consultant.ru/link/?req=doc&amp;base=RLAW390&amp;n=71292&amp;dst=100073" TargetMode="External"/><Relationship Id="rId2" Type="http://schemas.microsoft.com/office/2007/relationships/stylesWithEffects" Target="stylesWithEffects.xml"/><Relationship Id="rId16" Type="http://schemas.openxmlformats.org/officeDocument/2006/relationships/hyperlink" Target="https://login.consultant.ru/link/?req=doc&amp;base=RLAW390&amp;n=112420&amp;dst=100009" TargetMode="External"/><Relationship Id="rId20" Type="http://schemas.openxmlformats.org/officeDocument/2006/relationships/hyperlink" Target="https://login.consultant.ru/link/?req=doc&amp;base=RLAW390&amp;n=139832&amp;dst=100160" TargetMode="External"/><Relationship Id="rId1" Type="http://schemas.openxmlformats.org/officeDocument/2006/relationships/styles" Target="styles.xml"/><Relationship Id="rId6" Type="http://schemas.openxmlformats.org/officeDocument/2006/relationships/hyperlink" Target="https://login.consultant.ru/link/?req=doc&amp;base=RLAW390&amp;n=57707" TargetMode="External"/><Relationship Id="rId11" Type="http://schemas.openxmlformats.org/officeDocument/2006/relationships/hyperlink" Target="https://login.consultant.ru/link/?req=doc&amp;base=RLAW390&amp;n=139832&amp;dst=100153" TargetMode="External"/><Relationship Id="rId24" Type="http://schemas.openxmlformats.org/officeDocument/2006/relationships/hyperlink" Target="https://login.consultant.ru/link/?req=doc&amp;base=RLAW390&amp;n=112420&amp;dst=10001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90&amp;n=71292&amp;dst=100011" TargetMode="External"/><Relationship Id="rId23" Type="http://schemas.openxmlformats.org/officeDocument/2006/relationships/hyperlink" Target="https://login.consultant.ru/link/?req=doc&amp;base=RLAW390&amp;n=71292&amp;dst=100071" TargetMode="External"/><Relationship Id="rId10" Type="http://schemas.openxmlformats.org/officeDocument/2006/relationships/hyperlink" Target="https://login.consultant.ru/link/?req=doc&amp;base=RLAW390&amp;n=112420&amp;dst=100008" TargetMode="External"/><Relationship Id="rId19" Type="http://schemas.openxmlformats.org/officeDocument/2006/relationships/hyperlink" Target="https://login.consultant.ru/link/?req=doc&amp;base=RLAW390&amp;n=139832&amp;dst=100154" TargetMode="External"/><Relationship Id="rId4" Type="http://schemas.openxmlformats.org/officeDocument/2006/relationships/webSettings" Target="webSettings.xml"/><Relationship Id="rId9" Type="http://schemas.openxmlformats.org/officeDocument/2006/relationships/hyperlink" Target="https://login.consultant.ru/link/?req=doc&amp;base=RLAW390&amp;n=106474&amp;dst=100008" TargetMode="External"/><Relationship Id="rId14" Type="http://schemas.openxmlformats.org/officeDocument/2006/relationships/hyperlink" Target="https://login.consultant.ru/link/?req=doc&amp;base=RLAW390&amp;n=71292&amp;dst=100009" TargetMode="External"/><Relationship Id="rId22" Type="http://schemas.openxmlformats.org/officeDocument/2006/relationships/hyperlink" Target="https://login.consultant.ru/link/?req=doc&amp;base=RLAW390&amp;n=112420&amp;dst=1000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Ирина Павловна</dc:creator>
  <cp:lastModifiedBy>Ефимова Ирина Павловна</cp:lastModifiedBy>
  <cp:revision>1</cp:revision>
  <dcterms:created xsi:type="dcterms:W3CDTF">2025-04-14T04:38:00Z</dcterms:created>
  <dcterms:modified xsi:type="dcterms:W3CDTF">2025-04-14T04:38:00Z</dcterms:modified>
</cp:coreProperties>
</file>