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отношении земель и земельных участков в целях эксплуатации линейного объекта Газопровод по ул. 2,3,16,26,29 Линии во Втором Восточном поселке, </w:t>
            </w:r>
            <w:proofErr w:type="spellStart"/>
            <w:r w:rsidRPr="004D2DB2">
              <w:rPr>
                <w:u w:val="single"/>
              </w:rPr>
              <w:t>г.Оренбург</w:t>
            </w:r>
            <w:proofErr w:type="spell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276508" w:rsidRDefault="00741DEC" w:rsidP="00741DEC">
            <w:pPr>
              <w:pStyle w:val="1"/>
              <w:rPr>
                <w:sz w:val="20"/>
                <w:szCs w:val="24"/>
              </w:rPr>
            </w:pPr>
            <w:r w:rsidRPr="00276508">
              <w:rPr>
                <w:sz w:val="20"/>
                <w:szCs w:val="24"/>
              </w:rPr>
              <w:t>Российская Федерация, Оренбургская область, городской округ город Оренбург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2479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12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276508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Газопровод по ул. 2,3,16,26,29 Линии во Втором Восточном поселке, </w:t>
            </w:r>
            <w:proofErr w:type="spellStart"/>
            <w:r w:rsidRPr="00276508">
              <w:rPr>
                <w:sz w:val="20"/>
                <w:szCs w:val="24"/>
              </w:rPr>
              <w:t>г.Оренбург</w:t>
            </w:r>
            <w:proofErr w:type="spellEnd"/>
            <w:r w:rsidRPr="00276508">
              <w:rPr>
                <w:sz w:val="20"/>
                <w:szCs w:val="24"/>
              </w:rPr>
              <w:t xml:space="preserve"> сроком на 49 лет. Обладатель публичного сервитута АО "Газпром газораспределение Оренбург", ИНН 5610010369, ОГРН 1025601022512, юридический адрес и фактический адрес: 460000, Оренбургская область, г. Оренбург,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Краснознаменная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д.39,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тел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.: +7 (3532) 341-202, +7 (3532) 341-260,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адрес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электронной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почты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: o010608@oblgaz56.ru</w:t>
            </w:r>
          </w:p>
        </w:tc>
      </w:tr>
    </w:tbl>
    <w:p w:rsidR="000F5691" w:rsidRDefault="000F5691"/>
    <w:p w:rsidR="000F5691" w:rsidRDefault="009D3DE5">
      <w:r>
        <w:br w:type="page"/>
      </w:r>
    </w:p>
    <w:p w:rsidR="000F5691" w:rsidRDefault="000F5691">
      <w:pPr>
        <w:sectPr w:rsidR="000F5691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9D3DE5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9D3DE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9D3DE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="00276508" w:rsidRPr="00276508">
              <w:rPr>
                <w:sz w:val="20"/>
                <w:u w:val="single"/>
              </w:rPr>
              <w:t>МСК-56,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9D3DE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9D3DE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9D3DE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9D3DE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9D3DE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9D3DE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9D3DE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B5341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9D3DE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9D3DE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B5341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B53413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B53413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9D3DE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9D3DE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9D3DE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9D3DE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9D3DE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9D3DE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bookmarkStart w:id="0" w:name="_GoBack" w:colFirst="1" w:colLast="2"/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2309519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2309516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2309439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2309436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2309436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2309415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2309383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2309383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2309380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2309378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2309378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2309292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2309291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2309260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430616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2309245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430629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2309231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2309219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2309218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2309216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2309214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2309215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430666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2309191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2309180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2309177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430674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2309175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2309173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430679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2309176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430701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2309153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430714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430710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2309137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430711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2309135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430714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2309131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430719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2309136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430738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2309118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430739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2309117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430742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2309120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2309121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430721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2309141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430720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2309143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430705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2309157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430690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2309172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430681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2309181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430669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2309195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430646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2309220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430633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2309235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430621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2309246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430622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2309247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430621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2309249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430619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430618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2309250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430607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2309262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2309293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430581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2309322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2309380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06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2309415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2309438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2309493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430582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2309516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9D3DE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430579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62" w:type="dxa"/>
          </w:tcPr>
          <w:p w:rsidR="006E1041" w:rsidRPr="002E6E74" w:rsidRDefault="009D3DE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2309519</w:t>
            </w:r>
            <w:r w:rsidR="00E0112D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6E1041" w:rsidRPr="00276508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9D3DE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9D3DE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bookmarkEnd w:id="0"/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9D3DE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9D3DE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9D3DE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9D3DE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9D3DE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9D3DE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B5341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9D3DE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B5341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B53413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B53413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9D3DE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9D3DE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9D3DE5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7107E8" w:rsidRDefault="007107E8"/>
    <w:sectPr w:rsidR="007107E8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413" w:rsidRDefault="00B53413">
      <w:r>
        <w:separator/>
      </w:r>
    </w:p>
  </w:endnote>
  <w:endnote w:type="continuationSeparator" w:id="0">
    <w:p w:rsidR="00B53413" w:rsidRDefault="00B53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1426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413" w:rsidRDefault="00B53413">
      <w:r>
        <w:separator/>
      </w:r>
    </w:p>
  </w:footnote>
  <w:footnote w:type="continuationSeparator" w:id="0">
    <w:p w:rsidR="00B53413" w:rsidRDefault="00B53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5691"/>
    <w:rsid w:val="000F74BA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76508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D2D63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46B9D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107E8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8F7081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D3DE5"/>
    <w:rsid w:val="009F209C"/>
    <w:rsid w:val="009F3C61"/>
    <w:rsid w:val="009F621F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53413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112D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51A12A-001F-49A4-AC1C-C7B48789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СведенияОбОбъекте.dot</Template>
  <TotalTime>5</TotalTime>
  <Pages>6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Михайлова Елена Михайловна</cp:lastModifiedBy>
  <cp:revision>3</cp:revision>
  <cp:lastPrinted>2024-03-22T18:39:00Z</cp:lastPrinted>
  <dcterms:created xsi:type="dcterms:W3CDTF">2024-04-18T04:48:00Z</dcterms:created>
  <dcterms:modified xsi:type="dcterms:W3CDTF">2024-04-18T10:07:00Z</dcterms:modified>
</cp:coreProperties>
</file>