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C4" w:rsidRDefault="00CB04C4" w:rsidP="00CB04C4">
      <w:pPr>
        <w:pStyle w:val="ConsPlusTitle"/>
        <w:jc w:val="center"/>
        <w:outlineLvl w:val="1"/>
      </w:pPr>
      <w:r>
        <w:t>Раздел 1. ОСНОВНАЯ ЧАСТЬ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Title"/>
        <w:jc w:val="center"/>
        <w:outlineLvl w:val="2"/>
      </w:pPr>
      <w:r>
        <w:t>Глава 1.1. РАСЧЕТНЫЕ ПОКАЗАТЕЛИ ГРАДОСТРОИТЕЛЬНОГО</w:t>
      </w:r>
    </w:p>
    <w:p w:rsidR="00CB04C4" w:rsidRDefault="00CB04C4" w:rsidP="00CB04C4">
      <w:pPr>
        <w:pStyle w:val="ConsPlusTitle"/>
        <w:jc w:val="center"/>
      </w:pPr>
      <w:r>
        <w:t>ПРОЕКТИРОВАНИЯ, УСТАНОВЛЕННЫЕ МЕСТНЫМИ НОРМАТИВАМИ</w:t>
      </w:r>
    </w:p>
    <w:p w:rsidR="00CB04C4" w:rsidRDefault="00CB04C4" w:rsidP="00CB04C4">
      <w:pPr>
        <w:pStyle w:val="ConsPlusTitle"/>
        <w:jc w:val="center"/>
      </w:pPr>
      <w:r>
        <w:t>ГРАДОСТРОИТЕЛЬНОГО ПРОЕКТИРОВАНИЯ</w:t>
      </w:r>
    </w:p>
    <w:p w:rsidR="00CB04C4" w:rsidRDefault="00CB04C4" w:rsidP="00CB04C4">
      <w:pPr>
        <w:pStyle w:val="ConsPlusTitle"/>
        <w:jc w:val="center"/>
      </w:pPr>
      <w:r>
        <w:t>МУНИЦИПАЛЬНОГО ОБРАЗОВАНИЯ "ГОРОД ОРЕНБУРГ"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В соответствии с действующим градостроительным законодательством Российской Федерации нормативы градостроительного проектирования города Оренбурга устанавливают совокупность: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r>
        <w:t xml:space="preserve">- расчетных показателей минимально допустимого уровня обеспеченности объектами местного значения города Оренбурга, отнесенными к областям, указанным в </w:t>
      </w:r>
      <w:hyperlink r:id="rId4" w:history="1">
        <w:r>
          <w:rPr>
            <w:rStyle w:val="a3"/>
            <w:color w:val="0000FF"/>
            <w:u w:val="none"/>
          </w:rPr>
          <w:t>пункте 1 части 5 статьи 23</w:t>
        </w:r>
      </w:hyperlink>
      <w:r>
        <w:t xml:space="preserve"> Градостроительного кодекса РФ, объектами благоустройства территории, иными объектами местного значения города Оренбурга;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r>
        <w:t>- расчетных показателей максимально допустимого уровня территориальной доступности таких объектов для населения города Оренбурга.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Title"/>
        <w:jc w:val="center"/>
        <w:outlineLvl w:val="2"/>
      </w:pPr>
      <w:bookmarkStart w:id="0" w:name="P53"/>
      <w:bookmarkEnd w:id="0"/>
      <w:r>
        <w:t>Глава 1.2. РАСЧЕТНЫЕ ПОКАЗАТЕЛИ ПО ОБЪЕКТАМ,</w:t>
      </w:r>
    </w:p>
    <w:p w:rsidR="00CB04C4" w:rsidRDefault="00CB04C4" w:rsidP="00CB04C4">
      <w:pPr>
        <w:pStyle w:val="ConsPlusTitle"/>
        <w:jc w:val="center"/>
      </w:pPr>
      <w:r>
        <w:t>ОТНОСЯЩИМСЯ К ОБЛАСТЯМ ЭЛЕКТРО-, ТЕПЛО-, ГАЗО-</w:t>
      </w:r>
    </w:p>
    <w:p w:rsidR="00CB04C4" w:rsidRDefault="00CB04C4" w:rsidP="00CB04C4">
      <w:pPr>
        <w:pStyle w:val="ConsPlusTitle"/>
        <w:jc w:val="center"/>
      </w:pPr>
      <w:r>
        <w:t>И ВОДОСНАБЖЕНИЯ НАСЕЛЕНИЯ, ВОДООТВЕДЕНИЯ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1" w:name="P57"/>
      <w:bookmarkEnd w:id="1"/>
      <w:r>
        <w:t>1.2.1. Расчетные показатели объектов, относящихся к области электроснабжения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Наименование объекта (наименование ресурса) </w:t>
            </w:r>
            <w:hyperlink r:id="rId5" w:anchor="P82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Электроэнергия, электропотребление </w:t>
            </w:r>
            <w:hyperlink r:id="rId6" w:anchor="P83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proofErr w:type="spellStart"/>
            <w:r>
              <w:t>кВт.ч</w:t>
            </w:r>
            <w:proofErr w:type="spellEnd"/>
            <w:r>
              <w:t>/год 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2026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Электроэнергия, использование максимума электрической нагрузки </w:t>
            </w:r>
            <w:hyperlink r:id="rId7" w:anchor="P83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ч/год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6000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Электрические нагрузки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кВт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2" w:name="P82"/>
      <w:bookmarkEnd w:id="2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объектов;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3" w:name="P83"/>
      <w:bookmarkEnd w:id="3"/>
      <w:r>
        <w:t>&lt;2&gt;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4" w:name="P85"/>
      <w:bookmarkEnd w:id="4"/>
      <w:r>
        <w:lastRenderedPageBreak/>
        <w:t>1.2.2. Расчетные показатели объектов, относящихся к области тепло-, газоснабжения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Наименование объекта (наименование ресурса) </w:t>
            </w:r>
            <w:hyperlink r:id="rId8" w:anchor="P118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Природный газ, при наличии централизованного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120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Природный газ, при горячем водоснабжении от газовых водонагревателей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300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Природный газ, при отсутствии всяких видов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180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Тепловая нагрузка,</w:t>
            </w:r>
          </w:p>
          <w:p w:rsidR="00CB04C4" w:rsidRDefault="00CB04C4">
            <w:pPr>
              <w:pStyle w:val="ConsPlusNormal"/>
              <w:spacing w:line="276" w:lineRule="auto"/>
            </w:pPr>
            <w:r>
              <w:t>расход газа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proofErr w:type="spellStart"/>
            <w:r>
              <w:t>ГКал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  <w:r>
              <w:t>/чел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5" w:name="P118"/>
      <w:bookmarkEnd w:id="5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6" w:name="P120"/>
      <w:bookmarkEnd w:id="6"/>
      <w:r>
        <w:t>1.2.3. Расчетные показатели объектов, относящихся к области водоснабжения населения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Наименование объекта (наименование ресурса) </w:t>
            </w:r>
            <w:hyperlink r:id="rId9" w:anchor="P157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Водоснабжение, зона застройки многоквартирными (мало-, средне- и многоэтажными) жилыми домами с местными водонагревателями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210 </w:t>
            </w:r>
            <w:hyperlink r:id="rId10" w:anchor="P158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То же с централизованным горячим водоснабжением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250 </w:t>
            </w:r>
            <w:hyperlink r:id="rId11" w:anchor="P158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Водоснабжение, зона застройки </w:t>
            </w:r>
            <w:r>
              <w:lastRenderedPageBreak/>
              <w:t>индивидуальными жилыми домами с местными водонагревателями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lastRenderedPageBreak/>
              <w:t>л/</w:t>
            </w:r>
            <w:proofErr w:type="spellStart"/>
            <w:r>
              <w:t>сут</w:t>
            </w:r>
            <w:proofErr w:type="spellEnd"/>
            <w:r>
              <w:t xml:space="preserve">. на 1 </w:t>
            </w:r>
            <w:r>
              <w:lastRenderedPageBreak/>
              <w:t>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210 </w:t>
            </w:r>
            <w:hyperlink r:id="rId12" w:anchor="P158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То же с централизованным горячим водоснабжением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250 </w:t>
            </w:r>
            <w:hyperlink r:id="rId13" w:anchor="P158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Гостиницы, пансионаты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>. на 1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230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Санатории и дома отдыха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>. на 1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150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7" w:name="P157"/>
      <w:bookmarkEnd w:id="7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объектов;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8" w:name="P158"/>
      <w:bookmarkEnd w:id="8"/>
      <w:r>
        <w:t xml:space="preserve">&lt;2&gt; указанные нормы следует применять с учетом требований </w:t>
      </w:r>
      <w:hyperlink r:id="rId14" w:history="1">
        <w:r>
          <w:rPr>
            <w:rStyle w:val="a3"/>
            <w:color w:val="0000FF"/>
            <w:u w:val="none"/>
          </w:rPr>
          <w:t>табл. 1</w:t>
        </w:r>
      </w:hyperlink>
      <w:r>
        <w:t xml:space="preserve"> СП 31.13330.2012.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9" w:name="P160"/>
      <w:bookmarkEnd w:id="9"/>
      <w:r>
        <w:t>1.2.4. Расчетные показатели объектов, относящихся к области водоотведения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Наименование объекта (наименование ресурса) </w:t>
            </w:r>
            <w:hyperlink r:id="rId15" w:anchor="P185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Бытовая канализация, зона застройки многоквартирными жилыми домами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водопотребления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Бытовая канализация, зона застройки индивидуальными жилыми домами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водопотребления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Дождевая канализация. Суточный объем поверхностного стока, поступающий на очистные сооружения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 с 1 га территории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Title"/>
        <w:jc w:val="center"/>
        <w:outlineLvl w:val="2"/>
      </w:pPr>
      <w:bookmarkStart w:id="11" w:name="P187"/>
      <w:bookmarkEnd w:id="11"/>
      <w:r>
        <w:t>Глава 1.3. РАСЧЕТНЫЕ ПОКАЗАТЕЛИ АВТОМОБИЛЬНЫХ ДОРОГ</w:t>
      </w:r>
    </w:p>
    <w:p w:rsidR="00CB04C4" w:rsidRDefault="00CB04C4" w:rsidP="00CB04C4">
      <w:pPr>
        <w:pStyle w:val="ConsPlusTitle"/>
        <w:jc w:val="center"/>
      </w:pPr>
      <w:r>
        <w:t>МЕСТНОГО ЗНАЧЕНИЯ, УЛИЧНО-ДОРОЖНОЙ СЕТИ,</w:t>
      </w:r>
    </w:p>
    <w:p w:rsidR="00CB04C4" w:rsidRDefault="00CB04C4" w:rsidP="00CB04C4">
      <w:pPr>
        <w:pStyle w:val="ConsPlusTitle"/>
        <w:jc w:val="center"/>
      </w:pPr>
      <w:r>
        <w:t>ОБЪЕКТОВ ДОРОЖНОГО СЕРВИСА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12" w:name="P191"/>
      <w:bookmarkEnd w:id="12"/>
      <w:r>
        <w:t>1.3.1. Расчетные показатели автомобильных дорог местного значения, улично-дорожной сети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324"/>
        <w:gridCol w:w="1129"/>
        <w:gridCol w:w="1204"/>
        <w:gridCol w:w="1129"/>
      </w:tblGrid>
      <w:tr w:rsidR="00CB04C4" w:rsidTr="00CB04C4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Улично-дорожная сеть (улицы и дороги, проезды общего пользования, пешеходные и велосипедные дорожки) </w:t>
            </w:r>
            <w:hyperlink r:id="rId16" w:anchor="P207" w:history="1">
              <w:r>
                <w:rPr>
                  <w:rStyle w:val="a3"/>
                  <w:color w:val="0000FF"/>
                  <w:u w:val="none"/>
                </w:rPr>
                <w:t>&lt;*&gt;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км/1 км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территории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4,0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13" w:name="P207"/>
      <w:bookmarkEnd w:id="13"/>
      <w:r>
        <w:t xml:space="preserve">&lt;*&gt; параметры, включая размеры перечисленных элементов улично-дорожной сети, ширина основных улиц и дорог в красных линиях, определяются документом территориального планирования - Генеральным </w:t>
      </w:r>
      <w:hyperlink r:id="rId17" w:history="1">
        <w:r>
          <w:rPr>
            <w:rStyle w:val="a3"/>
            <w:color w:val="0000FF"/>
            <w:u w:val="none"/>
          </w:rPr>
          <w:t>планом</w:t>
        </w:r>
      </w:hyperlink>
      <w:r>
        <w:t xml:space="preserve"> города Оренбурга.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14" w:name="P209"/>
      <w:bookmarkEnd w:id="14"/>
      <w:r>
        <w:t>1.3.2. Расчетные показатели обеспеченности объектов автомобильными стоянками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Вид использования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Минимальное количество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Индивидуальные жилые дома, дачи, садоводства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 на земельный участок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Многоквартирные дома </w:t>
            </w:r>
            <w:hyperlink r:id="rId18" w:anchor="P243" w:history="1">
              <w:r>
                <w:rPr>
                  <w:rStyle w:val="a3"/>
                  <w:color w:val="0000FF"/>
                  <w:u w:val="none"/>
                </w:rPr>
                <w:t>&lt;*&gt;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 на 80 квадратных метров общей площади квартир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Объекты дошкольного, начального и среднего общего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 на 5 работников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Объекты среднего и высшего профессионального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4 работника, а также 1 </w:t>
            </w:r>
            <w:proofErr w:type="spellStart"/>
            <w:r>
              <w:t>машино</w:t>
            </w:r>
            <w:proofErr w:type="spellEnd"/>
            <w:r>
              <w:t>-место на 15 учащихся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Гостиницы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10 </w:t>
            </w:r>
            <w:proofErr w:type="spellStart"/>
            <w:r>
              <w:t>машино</w:t>
            </w:r>
            <w:proofErr w:type="spellEnd"/>
            <w:r>
              <w:t>-мест на 100 гостиничных мест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Объекты культуры, обслуживающей, административной, общественной, производственной деятельности, в том </w:t>
            </w:r>
            <w:r>
              <w:lastRenderedPageBreak/>
              <w:t>числе рассчитанные на прием посетителей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5 работников в максимальную смену, а также 1 </w:t>
            </w:r>
            <w:proofErr w:type="spellStart"/>
            <w:r>
              <w:t>машино</w:t>
            </w:r>
            <w:proofErr w:type="spellEnd"/>
            <w:r>
              <w:t xml:space="preserve">-место на 10 единовременных посетителей при их </w:t>
            </w:r>
            <w:r>
              <w:lastRenderedPageBreak/>
              <w:t>максимальном количестве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lastRenderedPageBreak/>
              <w:t>Объекты физической культуры и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 на 10 единовременных посетителей (включая зрителей) при их максимальном количестве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Больничные, санаторно-курортные учреждения, объекты социального обеспечения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5 </w:t>
            </w:r>
            <w:proofErr w:type="spellStart"/>
            <w:r>
              <w:t>машино</w:t>
            </w:r>
            <w:proofErr w:type="spellEnd"/>
            <w:r>
              <w:t xml:space="preserve">-мест на 100 койко-мест, а также 5 - 7 </w:t>
            </w:r>
            <w:proofErr w:type="spellStart"/>
            <w:r>
              <w:t>машино</w:t>
            </w:r>
            <w:proofErr w:type="spellEnd"/>
            <w:r>
              <w:t>-мест на 100 работников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Кемпинги и мотели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 на 1 гостиничный номер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Земельные участки садов, скверов, парков, пляжей, комплексов аттракционов, </w:t>
            </w:r>
            <w:proofErr w:type="spellStart"/>
            <w:r>
              <w:t>лунапарков</w:t>
            </w:r>
            <w:proofErr w:type="spellEnd"/>
            <w:r>
              <w:t>, аквапарков, специальных парков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3 </w:t>
            </w:r>
            <w:proofErr w:type="spellStart"/>
            <w:r>
              <w:t>машино</w:t>
            </w:r>
            <w:proofErr w:type="spellEnd"/>
            <w:r>
              <w:t>-места на 1 га территории земельного участка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Кладбища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10 </w:t>
            </w:r>
            <w:proofErr w:type="spellStart"/>
            <w:r>
              <w:t>машино</w:t>
            </w:r>
            <w:proofErr w:type="spellEnd"/>
            <w:r>
              <w:t>-мест на 1 га территории земельного участка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Крематории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20 </w:t>
            </w:r>
            <w:proofErr w:type="spellStart"/>
            <w:r>
              <w:t>машино</w:t>
            </w:r>
            <w:proofErr w:type="spellEnd"/>
            <w:r>
              <w:t>-мест на 1 га территории земельного участка</w:t>
            </w:r>
          </w:p>
        </w:tc>
      </w:tr>
      <w:tr w:rsidR="00CB04C4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Вокзалы (автомобильные, речные, морские, железнодорожные)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 на 10 пассажиров, прибывающих в час пик</w:t>
            </w: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15" w:name="P243"/>
      <w:bookmarkEnd w:id="15"/>
      <w:r>
        <w:t xml:space="preserve">&lt;*&gt; - нормативное минимальное количество </w:t>
      </w:r>
      <w:proofErr w:type="spellStart"/>
      <w:r>
        <w:t>машино</w:t>
      </w:r>
      <w:proofErr w:type="spellEnd"/>
      <w:r>
        <w:t xml:space="preserve">-мест для хранения индивидуального автотранспорта в границах квартала складывается из количества </w:t>
      </w:r>
      <w:proofErr w:type="spellStart"/>
      <w:r>
        <w:t>машино</w:t>
      </w:r>
      <w:proofErr w:type="spellEnd"/>
      <w:r>
        <w:t xml:space="preserve">-мест на общественных местах хранения индивидуального автотранспорта, расположенных в границах квартала, и </w:t>
      </w:r>
      <w:proofErr w:type="spellStart"/>
      <w:r>
        <w:t>машино</w:t>
      </w:r>
      <w:proofErr w:type="spellEnd"/>
      <w:r>
        <w:t>-мест на земельных участках.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16" w:name="P245"/>
      <w:bookmarkEnd w:id="16"/>
      <w:r>
        <w:t>1.3.3. Расчетные показатели объектов дорожного сервиса, кроме предназначенных для предоставления транспортных услуг населению и организации транспортного обслуживания населения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28"/>
        <w:gridCol w:w="1459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Объекты по техническому обслуживанию автомобилей </w:t>
            </w:r>
            <w:hyperlink r:id="rId19" w:anchor="P266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пост/200 автомобилей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Автозаправочные станции </w:t>
            </w:r>
            <w:hyperlink r:id="rId20" w:anchor="P266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объект/1200 автомобилей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17" w:name="P266"/>
      <w:bookmarkEnd w:id="17"/>
      <w:r>
        <w:t>&lt;1&gt; размещение указанных объектов дорожного сервиса допускается на территориях, сопряженных с территориями автомобильных дорог и улиц городского значения.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18" w:name="P268"/>
      <w:bookmarkEnd w:id="18"/>
      <w:r>
        <w:t>1.3.4. Расчетные показатели объектов, предназначенных для предоставления транспортных услуг населению и организации транспортного обслуживания населения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28"/>
        <w:gridCol w:w="1459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Остановки общественного городского транспорта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500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Станции технического обслуживания городского пассажирского транспорта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единиц/транспорт.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предприятие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Транспортно-эксплуатационные предприятия городского транспорта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единиц/вид транспорта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Title"/>
        <w:jc w:val="center"/>
        <w:outlineLvl w:val="2"/>
      </w:pPr>
      <w:bookmarkStart w:id="19" w:name="P294"/>
      <w:bookmarkEnd w:id="19"/>
      <w:r>
        <w:t>Глава 1.4. РАСЧЕТНЫЕ ПОКАЗАТЕЛИ ОБЪЕКТОВ, ОТНОСЯЩИХСЯ</w:t>
      </w:r>
    </w:p>
    <w:p w:rsidR="00CB04C4" w:rsidRDefault="00CB04C4" w:rsidP="00CB04C4">
      <w:pPr>
        <w:pStyle w:val="ConsPlusTitle"/>
        <w:jc w:val="center"/>
      </w:pPr>
      <w:r>
        <w:t>К ОБЛАСТЯМ ФИЗИЧЕСКОЙ КУЛЬТУРЫ И МАССОВОГО СПОРТА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28"/>
        <w:gridCol w:w="1459"/>
        <w:gridCol w:w="1129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9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  <w:outlineLvl w:val="3"/>
            </w:pPr>
            <w:r>
              <w:t>Объекты физической культуры и массового спорта квартального (микрорайонного) значения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Помещения для физкультурно-оздоровительных занятий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 общ. площади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500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Территория плоскостных спортивных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га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500</w:t>
            </w:r>
          </w:p>
        </w:tc>
      </w:tr>
      <w:tr w:rsidR="00CB04C4" w:rsidTr="00CB04C4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  <w:outlineLvl w:val="3"/>
            </w:pPr>
            <w:r>
              <w:t>Объекты физической культуры и массового спорта районного значения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 xml:space="preserve">Спортивный зал общего </w:t>
            </w:r>
            <w:r>
              <w:lastRenderedPageBreak/>
              <w:t>пользования в физкультурно-спортивном центре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м площади </w:t>
            </w:r>
            <w:r>
              <w:lastRenderedPageBreak/>
              <w:t>пола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lastRenderedPageBreak/>
              <w:t>60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1500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Бассейн крытый (открытый) общего пользования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 зеркала воды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Территория плоскостных спортивных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га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0,25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  <w:outlineLvl w:val="3"/>
            </w:pPr>
            <w:r>
              <w:t>Объекты физической культуры и массового спорта городского значения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Территория плоскостных спортивных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га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0,35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мин. транспортной доступности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Title"/>
        <w:jc w:val="center"/>
        <w:outlineLvl w:val="2"/>
      </w:pPr>
      <w:bookmarkStart w:id="20" w:name="P341"/>
      <w:bookmarkEnd w:id="20"/>
      <w:r>
        <w:t>Глава 1.5. РАСЧЕТНЫЕ ПОКАЗАТЕЛИ ОБЪЕКТОВ,</w:t>
      </w:r>
    </w:p>
    <w:p w:rsidR="00CB04C4" w:rsidRDefault="00CB04C4" w:rsidP="00CB04C4">
      <w:pPr>
        <w:pStyle w:val="ConsPlusTitle"/>
        <w:jc w:val="center"/>
      </w:pPr>
      <w:r>
        <w:t>ОТНОСЯЩИХСЯ К ОБЛАСТИ ОБРАЗОВАНИЯ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21" w:name="P344"/>
      <w:bookmarkEnd w:id="21"/>
      <w:r>
        <w:t>1.5.1. Расчетные показатели дошкольных образовательных организаций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474"/>
        <w:gridCol w:w="2721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Дошкольная образовательная организация общего типа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мест на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1000 жителей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Расчет по демографии </w:t>
            </w:r>
            <w:hyperlink r:id="rId21" w:anchor="P368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  <w:r>
              <w:t xml:space="preserve"> с учетом уровня обеспеченности детей дошкольными образовательными организациями, при отсутствии данных по демографии - 60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300 </w:t>
            </w:r>
            <w:hyperlink r:id="rId22" w:anchor="P369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Дошкольная образовательная организация специализированного типа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численности детей 1 - 6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22" w:name="P368"/>
      <w:bookmarkEnd w:id="22"/>
      <w:r>
        <w:t xml:space="preserve">&lt;1&gt; объектами дошкольного образования должны быть обеспечены 85 % численности детей </w:t>
      </w:r>
      <w:r>
        <w:lastRenderedPageBreak/>
        <w:t>дошкольного возраста, в том числе: - в дошкольных образовательных организациях общего типа - 70 %; в дошкольных образовательных организациях специализированного типа - 3 %; в дошкольных образовательных организациях оздоровительного типа - 12 %;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23" w:name="P369"/>
      <w:bookmarkEnd w:id="23"/>
      <w:r>
        <w:t>&lt;2&gt; в районах малоэтажной застройки (1 - 3 этажа) допускается увеличение максимально допустимого уровня территориальной доступности детских дошкольных учреждений общего типа до 500 м.</w:t>
      </w:r>
    </w:p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bookmarkStart w:id="24" w:name="P371"/>
      <w:bookmarkEnd w:id="24"/>
      <w:r>
        <w:t>1.5.2. Расчетные показатели общеобразовательных организаций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474"/>
        <w:gridCol w:w="2721"/>
        <w:gridCol w:w="1204"/>
        <w:gridCol w:w="1129"/>
      </w:tblGrid>
      <w:tr w:rsidR="00CB04C4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Общеобразовательная организация (школа, лицей, гимназия)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учащихся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 1000 жителей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Расчет по демографии </w:t>
            </w:r>
            <w:hyperlink r:id="rId23" w:anchor="P399" w:history="1">
              <w:r>
                <w:rPr>
                  <w:rStyle w:val="a3"/>
                  <w:color w:val="0000FF"/>
                  <w:u w:val="none"/>
                </w:rPr>
                <w:t>&lt;1&gt;</w:t>
              </w:r>
            </w:hyperlink>
            <w:r>
              <w:t xml:space="preserve"> с учетом уровня охвата школьников, при отсутствии данных по демографии - 104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500 </w:t>
            </w:r>
            <w:hyperlink r:id="rId24" w:anchor="P400" w:history="1">
              <w:r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Межшкольный учебно-производственный комбинат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численности школьников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Общеобразовательные организации, имеющие интернат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По заданию на проектирование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</w:tbl>
    <w:p w:rsidR="00CB04C4" w:rsidRDefault="00CB04C4" w:rsidP="00CB04C4">
      <w:pPr>
        <w:pStyle w:val="ConsPlusNormal"/>
        <w:jc w:val="both"/>
      </w:pPr>
    </w:p>
    <w:p w:rsidR="00CB04C4" w:rsidRDefault="00CB04C4" w:rsidP="00CB04C4">
      <w:pPr>
        <w:pStyle w:val="ConsPlusNormal"/>
        <w:ind w:firstLine="540"/>
        <w:jc w:val="both"/>
      </w:pPr>
      <w:r>
        <w:t>--------------------------------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25" w:name="P399"/>
      <w:bookmarkEnd w:id="25"/>
      <w:r>
        <w:t>&lt;1&gt; следует принимать с учетом 100 % охвата детей неполным средним образованием (I - IX классы) и до 75 % детей - средним образованием (X - XI классы) при обучении в одну смену;</w:t>
      </w:r>
    </w:p>
    <w:p w:rsidR="00CB04C4" w:rsidRDefault="00CB04C4" w:rsidP="00CB04C4">
      <w:pPr>
        <w:pStyle w:val="ConsPlusNormal"/>
        <w:spacing w:before="220"/>
        <w:ind w:firstLine="540"/>
        <w:jc w:val="both"/>
      </w:pPr>
      <w:bookmarkStart w:id="26" w:name="P400"/>
      <w:bookmarkEnd w:id="26"/>
      <w:r>
        <w:t>&lt;2&gt; для общеобразовательных учреждений при малоэтажной застройке (1 - 3 этажа) - 750 м.</w:t>
      </w:r>
    </w:p>
    <w:p w:rsidR="00CB04C4" w:rsidRDefault="00CB04C4" w:rsidP="00CB04C4">
      <w:pPr>
        <w:pStyle w:val="ConsPlusNormal"/>
        <w:jc w:val="both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4C4" w:rsidTr="00CB04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4C4" w:rsidRDefault="00CB04C4">
            <w:pPr>
              <w:pStyle w:val="ConsPlusNormal"/>
              <w:spacing w:line="276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4C4" w:rsidRDefault="00CB04C4">
            <w:pPr>
              <w:pStyle w:val="ConsPlusNormal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CB04C4" w:rsidRDefault="00CB04C4">
            <w:pPr>
              <w:pStyle w:val="ConsPlusNormal"/>
              <w:spacing w:line="276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04C4" w:rsidRDefault="00CB04C4">
            <w:pPr>
              <w:pStyle w:val="ConsPlusNormal"/>
              <w:spacing w:line="276" w:lineRule="auto"/>
              <w:jc w:val="both"/>
            </w:pPr>
            <w:r>
              <w:rPr>
                <w:color w:val="392C69"/>
              </w:rPr>
              <w:t>Текст подпункта 1.5.3 приведен в соответствие с копией оригинального источника, полученного непосредственно из Оренбургского городского Совета. В газете "Вечерний Оренбург", N 14, 07.03.2017 таблица подпункта 1.5.3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4C4" w:rsidRDefault="00CB04C4">
            <w:pPr>
              <w:pStyle w:val="ConsPlusNormal"/>
              <w:spacing w:line="276" w:lineRule="auto"/>
            </w:pPr>
          </w:p>
        </w:tc>
      </w:tr>
    </w:tbl>
    <w:p w:rsidR="00CB04C4" w:rsidRDefault="00CB04C4" w:rsidP="00CB04C4">
      <w:pPr>
        <w:pStyle w:val="ConsPlusNormal"/>
        <w:spacing w:before="280"/>
        <w:ind w:firstLine="540"/>
        <w:jc w:val="both"/>
      </w:pPr>
      <w:bookmarkStart w:id="27" w:name="P404"/>
      <w:bookmarkEnd w:id="27"/>
      <w:r>
        <w:t>1.5.3. Расчетные показатели объектов дополнительного образования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28"/>
        <w:gridCol w:w="1129"/>
        <w:gridCol w:w="1204"/>
        <w:gridCol w:w="1129"/>
      </w:tblGrid>
      <w:tr w:rsidR="00CB04C4" w:rsidTr="00CB04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 xml:space="preserve">Максимально допустимый уровень </w:t>
            </w:r>
            <w:r>
              <w:lastRenderedPageBreak/>
              <w:t>территориальной доступности</w:t>
            </w:r>
          </w:p>
        </w:tc>
      </w:tr>
      <w:tr w:rsidR="00CB04C4" w:rsidTr="00CB04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Дворец (Дом) творчества школьников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3,3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Не нормируется</w:t>
            </w:r>
          </w:p>
        </w:tc>
      </w:tr>
      <w:tr w:rsidR="00CB04C4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Станция юных техников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0,9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Станция юных натуралистов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0,4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Станция юных туристов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0,4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Детско-юношеская спортивная школа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2,3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CB04C4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Детская школа искусств (музыкальная, художественная, хореографическая)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2,7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CB04C4" w:rsidRDefault="00CB04C4" w:rsidP="00CB04C4">
      <w:pPr>
        <w:pStyle w:val="ConsPlusNormal"/>
        <w:jc w:val="both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4C4" w:rsidTr="00CB04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4C4" w:rsidRDefault="00CB04C4">
            <w:pPr>
              <w:pStyle w:val="ConsPlusNormal"/>
              <w:spacing w:line="276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4C4" w:rsidRDefault="00CB04C4">
            <w:pPr>
              <w:pStyle w:val="ConsPlusNormal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CB04C4" w:rsidRDefault="00CB04C4">
            <w:pPr>
              <w:pStyle w:val="ConsPlusNormal"/>
              <w:spacing w:line="276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04C4" w:rsidRDefault="00CB04C4">
            <w:pPr>
              <w:pStyle w:val="ConsPlusNormal"/>
              <w:spacing w:line="276" w:lineRule="auto"/>
              <w:jc w:val="both"/>
            </w:pPr>
            <w:r>
              <w:rPr>
                <w:color w:val="392C69"/>
              </w:rPr>
              <w:t>Текст подпункта 1.5.4 приведен в соответствие с копией оригинального источника, полученного непосредственно из Оренбургского городского Совета. В газете "Вечерний Оренбург", N 14, 07.03.2017 абзац "1.5.4. Расчетные показатели объектов для организации отдыха детей в каникулярное время"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4C4" w:rsidRDefault="00CB04C4">
            <w:pPr>
              <w:pStyle w:val="ConsPlusNormal"/>
              <w:spacing w:line="276" w:lineRule="auto"/>
            </w:pPr>
          </w:p>
        </w:tc>
      </w:tr>
    </w:tbl>
    <w:p w:rsidR="00CB04C4" w:rsidRDefault="00CB04C4" w:rsidP="00CB04C4">
      <w:pPr>
        <w:pStyle w:val="ConsPlusNormal"/>
        <w:spacing w:before="280"/>
        <w:ind w:firstLine="540"/>
        <w:jc w:val="both"/>
      </w:pPr>
      <w:bookmarkStart w:id="28" w:name="P443"/>
      <w:bookmarkEnd w:id="28"/>
      <w:r>
        <w:t>1.5.4. Расчетные показатели объектов для организации отдыха детей в каникулярное время</w:t>
      </w:r>
    </w:p>
    <w:p w:rsidR="00CB04C4" w:rsidRDefault="00CB04C4" w:rsidP="00CB04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98"/>
        <w:gridCol w:w="1129"/>
        <w:gridCol w:w="1644"/>
        <w:gridCol w:w="1129"/>
      </w:tblGrid>
      <w:tr w:rsidR="00CB04C4" w:rsidTr="00CB04C4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CB04C4" w:rsidTr="00CB04C4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spacing w:after="0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Величина</w:t>
            </w:r>
          </w:p>
        </w:tc>
      </w:tr>
      <w:tr w:rsidR="00CB04C4" w:rsidTr="00CB04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</w:pPr>
            <w:r>
              <w:t>Детский оздоровительный лагерь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Default="00CB04C4">
            <w:pPr>
              <w:pStyle w:val="ConsPlusNormal"/>
              <w:spacing w:line="276" w:lineRule="auto"/>
              <w:jc w:val="center"/>
            </w:pPr>
            <w:r>
              <w:t>500</w:t>
            </w:r>
          </w:p>
        </w:tc>
      </w:tr>
    </w:tbl>
    <w:p w:rsidR="007576CC" w:rsidRDefault="007576CC">
      <w:bookmarkStart w:id="29" w:name="_GoBack"/>
      <w:bookmarkEnd w:id="29"/>
    </w:p>
    <w:sectPr w:rsidR="0075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4"/>
    <w:rsid w:val="007576CC"/>
    <w:rsid w:val="00C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96CF-AD7D-4CA8-9FEC-8B51057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4C4"/>
    <w:rPr>
      <w:color w:val="0000FF" w:themeColor="hyperlink"/>
      <w:u w:val="single"/>
    </w:rPr>
  </w:style>
  <w:style w:type="paragraph" w:customStyle="1" w:styleId="ConsPlusNormal">
    <w:name w:val="ConsPlusNormal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3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8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7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2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7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0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1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4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5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5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3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0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9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4" Type="http://schemas.openxmlformats.org/officeDocument/2006/relationships/hyperlink" Target="consultantplus://offline/ref=89BEF202FBBD769E29BCBDBC39D044BCCB7017A13D02B085ACE79CC6D3DBC0969EF44C448F9EE27F8EE0D8F881DFE8D3D3F9915782D5C48CoBMEG" TargetMode="External"/><Relationship Id="rId9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4" Type="http://schemas.openxmlformats.org/officeDocument/2006/relationships/hyperlink" Target="consultantplus://offline/ref=89BEF202FBBD769E29BCA2A93CD044BCCD7115A0370EED8FA4BE90C4D4D49F8199BD40458F9FE37483BFDDED9087E4DBC4E7974F9ED7C6o8MDG" TargetMode="External"/><Relationship Id="rId22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Екатерина Владимировна</dc:creator>
  <cp:keywords/>
  <dc:description/>
  <cp:lastModifiedBy>Бычкова Екатерина Владимировна</cp:lastModifiedBy>
  <cp:revision>1</cp:revision>
  <dcterms:created xsi:type="dcterms:W3CDTF">2023-06-27T05:01:00Z</dcterms:created>
  <dcterms:modified xsi:type="dcterms:W3CDTF">2023-06-27T05:02:00Z</dcterms:modified>
</cp:coreProperties>
</file>