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A2F2" w14:textId="77777777" w:rsidR="00304B51" w:rsidRDefault="00304B51" w:rsidP="00304B51">
      <w:pPr>
        <w:pStyle w:val="docdata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результатах социологического исследования </w:t>
      </w:r>
      <w:bookmarkEnd w:id="0"/>
      <w:r>
        <w:rPr>
          <w:b/>
          <w:bCs/>
          <w:color w:val="000000"/>
          <w:sz w:val="28"/>
          <w:szCs w:val="28"/>
        </w:rPr>
        <w:t xml:space="preserve">«Оценка уровня, структуры и специфики коррупции в Оренбургской области, эффективности принимаемых антикоррупционных мер», проведенного </w:t>
      </w:r>
    </w:p>
    <w:p w14:paraId="17BA1BB9" w14:textId="77777777" w:rsidR="00304B51" w:rsidRDefault="00304B51" w:rsidP="00304B5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в 2024 году и сравнительного анализа результатов, полученных </w:t>
      </w:r>
    </w:p>
    <w:p w14:paraId="59C63AC8" w14:textId="77777777" w:rsidR="00304B51" w:rsidRDefault="00304B51" w:rsidP="00304B5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 итогам исследований, проведенных в 2022, 2023 и 2024 годах</w:t>
      </w:r>
    </w:p>
    <w:p w14:paraId="24C9FBCD" w14:textId="77777777" w:rsidR="00304B51" w:rsidRDefault="00304B51" w:rsidP="00304B5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0"/>
          <w:szCs w:val="30"/>
        </w:rPr>
        <w:t>_____________________________________________________________</w:t>
      </w:r>
    </w:p>
    <w:p w14:paraId="73CDA596" w14:textId="77777777" w:rsidR="00304B51" w:rsidRDefault="00304B51" w:rsidP="00304B51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(информация комитета по профилактике </w:t>
      </w:r>
    </w:p>
    <w:p w14:paraId="33565B96" w14:textId="77777777" w:rsidR="00304B51" w:rsidRDefault="00304B51" w:rsidP="00304B51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коррупционных правонарушений Оренбургской области)</w:t>
      </w:r>
    </w:p>
    <w:p w14:paraId="13045925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 w:line="273" w:lineRule="auto"/>
        <w:jc w:val="both"/>
      </w:pPr>
      <w:r>
        <w:t> </w:t>
      </w:r>
    </w:p>
    <w:p w14:paraId="28DC9724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целях реализации Национального плана противодействия коррупции и региональной программы противодействия коррупции, комитетом                             по профилактике коррупционных правонарушений Оренбургской области (далее – комитет) организовано проведение социологических исследований               о состоянии коррупции и эффективности мер, предпринимаемых                                      по ее предупреждению в государственных органах и органах местного самоуправления в Оренбургской области (далее – исследование).</w:t>
      </w:r>
    </w:p>
    <w:p w14:paraId="319F0A7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Ежегодное проведение исследований являлось одной из задач Национального плана противодействия коррупции на 2021-2024 годы, утвержденного Указом Президента Российской Федерации от 16.08.2021          № 478.</w:t>
      </w:r>
    </w:p>
    <w:p w14:paraId="3D61F8AF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Исследования проводятся с 2019 года в соответствии с методикой, утвержденной Постановлением Правительства Российской Федерации                    от 25.05.2019 № 662 и сфокусированы на следующей проблематике:</w:t>
      </w:r>
    </w:p>
    <w:p w14:paraId="728E2FE8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«бытовая» коррупция, возникающая при взаимодействии граждан                      и представителей органов власти, в том числе при предоставлении государственных (муниципальных) услуг (в опросе приняли участие 600 респондентов);</w:t>
      </w:r>
    </w:p>
    <w:p w14:paraId="53D0CB6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«деловая» коррупция, возникающая при взаимодействии органов власти и представителей бизнеса (в опросе приняли участие 200 субъектов предпринимательской деятельности).</w:t>
      </w:r>
    </w:p>
    <w:p w14:paraId="0C18B6B2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Целью исследований является оценка уровня, структуры                                   и специфики коррупции в Оренбургской области.</w:t>
      </w:r>
    </w:p>
    <w:p w14:paraId="2B257094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Задачи исследований заключаются в определении следующих показателей:</w:t>
      </w:r>
    </w:p>
    <w:p w14:paraId="565CB428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фактические значения параметров оценки коррупции, в том числе уровня коррупции в Оренбургской области;</w:t>
      </w:r>
    </w:p>
    <w:p w14:paraId="3D784CEE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качественно-количественная оценка коррупции в Оренбургской области;</w:t>
      </w:r>
    </w:p>
    <w:p w14:paraId="4B2C1D9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структура коррупции в Оренбургской области;</w:t>
      </w:r>
    </w:p>
    <w:p w14:paraId="7678804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основные характеристики коррупции в различных сферах государственного регулирования Оренбургской области;</w:t>
      </w:r>
    </w:p>
    <w:p w14:paraId="07DEDE45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 эффективность (результативность) принимаемых в Оренбургской области мер, направленных на противодействие коррупции;</w:t>
      </w:r>
    </w:p>
    <w:p w14:paraId="0C01BDE2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причины и условия проявления коррупции в регионе.</w:t>
      </w:r>
    </w:p>
    <w:p w14:paraId="39DE3F26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Сбор и анализ информации в рамках проведения социологического исследования осуществлялся в 12 муниципальных образованиях Оренбургской области: г. Оренбург, г. Орск, г. Новотроицк, г. Бузулук, </w:t>
      </w:r>
      <w:proofErr w:type="spellStart"/>
      <w:r>
        <w:rPr>
          <w:color w:val="000000"/>
          <w:sz w:val="28"/>
          <w:szCs w:val="28"/>
        </w:rPr>
        <w:t>Кувандыкский</w:t>
      </w:r>
      <w:proofErr w:type="spellEnd"/>
      <w:r>
        <w:rPr>
          <w:color w:val="000000"/>
          <w:sz w:val="28"/>
          <w:szCs w:val="28"/>
        </w:rPr>
        <w:t xml:space="preserve"> муниципальный округ, Адамовский, </w:t>
      </w:r>
      <w:proofErr w:type="spellStart"/>
      <w:r>
        <w:rPr>
          <w:color w:val="000000"/>
          <w:sz w:val="28"/>
          <w:szCs w:val="28"/>
        </w:rPr>
        <w:t>Грачевский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Матвеевский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Новоорский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Новосергиевский</w:t>
      </w:r>
      <w:proofErr w:type="spellEnd"/>
      <w:r>
        <w:rPr>
          <w:color w:val="000000"/>
          <w:sz w:val="28"/>
          <w:szCs w:val="28"/>
        </w:rPr>
        <w:t xml:space="preserve">, Октябрьский,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>
        <w:rPr>
          <w:color w:val="000000"/>
          <w:sz w:val="28"/>
          <w:szCs w:val="28"/>
        </w:rPr>
        <w:t xml:space="preserve"> районы.</w:t>
      </w:r>
    </w:p>
    <w:p w14:paraId="1E29698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рамках подготовки к заседанию комиссии проведен сравнительный анализ результатов социологических исследований за 2022-2024 годы.</w:t>
      </w:r>
    </w:p>
    <w:p w14:paraId="35C30A6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Отношение населения к «бытовой» и «деловой» коррупции во многом зависит от уровня информированности, прежде всего о тех мерах, которые принимаются властями региона по противодействию коррупции.</w:t>
      </w:r>
    </w:p>
    <w:p w14:paraId="16731CD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5926FF0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9D9F7B1" wp14:editId="7A0008EE">
            <wp:extent cx="595312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D15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14F4CA2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Результаты исследования, проведенные в 2024 году, показали, что 59% респондентов в той или иной степени получают информацию о мерах, предпринимаемых властями по противодействию коррупции (2022 – 71%; 2023 – 57%).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При этом значение такого показателя, как количество лиц, ничего не знающих о принимаемых мерах по противодействия коррупции в 2024 году составило 32% (2022 – 23%; 2023 – 38%).</w:t>
      </w:r>
    </w:p>
    <w:p w14:paraId="0DFADBD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образом, возникает вопрос об эффективности проводимых мероприятий по антикоррупционному информированию и просвещению. Учитывая тенденцию снижения показателей, комиссией по координации работы по противодействию коррупции в Оренбургской области в мае 2023 </w:t>
      </w:r>
      <w:r>
        <w:rPr>
          <w:color w:val="000000"/>
          <w:sz w:val="28"/>
          <w:szCs w:val="28"/>
        </w:rPr>
        <w:lastRenderedPageBreak/>
        <w:t>года и в ноябре 2024 года рассматривались вопросы, связанные                                 с обеспечением антикоррупционного информировании и информационного сопровождения деятельности исполнительных органов и органов местного самоуправления Оренбургской области по профилактике коррупционных правонарушений. Выработанные меры, направленные на повышения качества проводимых мероприятий по освещению деятельности по профилактике коррупционных правонарушений, вовлечение в указанные мероприятия более широкого круга лиц, позволили в сравнении с 2023 и 2024 годами на 6% снизить количественные показатели лиц, ничего не знающих о принимаемых мерах по противодействия коррупции.</w:t>
      </w:r>
    </w:p>
    <w:p w14:paraId="6BD13D2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Результаты проведенного исследования в 2024 году </w:t>
      </w:r>
      <w:proofErr w:type="gramStart"/>
      <w:r>
        <w:rPr>
          <w:color w:val="000000"/>
          <w:sz w:val="28"/>
          <w:szCs w:val="28"/>
        </w:rPr>
        <w:t>показывают,   </w:t>
      </w:r>
      <w:proofErr w:type="gramEnd"/>
      <w:r>
        <w:rPr>
          <w:color w:val="000000"/>
          <w:sz w:val="28"/>
          <w:szCs w:val="28"/>
        </w:rPr>
        <w:t>          что 77% представителей бизнеса информированы о реализуемых                          в регионе мерах по противодействию коррупции (2022 – 54%; 2023 – 72%).</w:t>
      </w:r>
    </w:p>
    <w:p w14:paraId="552487F1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758002F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E63852C" wp14:editId="7AF8ECC8">
            <wp:extent cx="5953125" cy="393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86F7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этом 35% респондентов в сфере «деловой» коррупции в 2024 году указали, что специально не следят за информацией о мерах, которые власти принимают для противодействия коррупции (в 2022 году этот показатель составил – 22%; 2023 – 31%).</w:t>
      </w:r>
    </w:p>
    <w:p w14:paraId="47E990A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Вместе с тем, наблюдается снижение количества представителей            бизнес-сообщества, неосведомленных о реализуемых в регионе мерах                            по противодействию коррупции.</w:t>
      </w:r>
    </w:p>
    <w:p w14:paraId="665FA8E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Одним из основных направлений социологических исследований, является оценка эффективности принимаемых в регионе мер антикоррупционной направленности.</w:t>
      </w:r>
    </w:p>
    <w:p w14:paraId="7EE00D11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В 2024 году эффективной деятельность руководства региона в сфере противодействия коррупции признали 26% респондентов, опрошенных                         в сфере «бытовой» коррупции (2022 – 53%, 2023 – 22%).</w:t>
      </w:r>
    </w:p>
    <w:p w14:paraId="7462533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7B2033F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AA0A1FA" wp14:editId="3F72CE42">
            <wp:extent cx="5848350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28E2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7F6833F3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Основываясь на сравнительном анализе результатов исследований, можно констатировать, что в 2024 году наблюдается снижение количественных показателей представителей бизнеса региона, считающих проводимую антикоррупционную работу неэффективной.</w:t>
      </w:r>
    </w:p>
    <w:p w14:paraId="5B9DE6E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53B07FB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25F9D08" wp14:editId="19181AB1">
            <wp:extent cx="5848350" cy="3705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629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5CD0B231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Так, если в 2022 и 2023 годах соответственно 24% и 35% участвующих в опросах представителей бизнеса считали, что принимаемые </w:t>
      </w:r>
      <w:r>
        <w:rPr>
          <w:color w:val="000000"/>
          <w:sz w:val="28"/>
          <w:szCs w:val="28"/>
        </w:rPr>
        <w:lastRenderedPageBreak/>
        <w:t>меры                               по противодействию коррупции являются неэффективными, то в 2024 году данный показатель составил 33%.</w:t>
      </w:r>
    </w:p>
    <w:p w14:paraId="4D50F27E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этом 3% респондентов считают действия властей ухудшающими ситуацию. В 2022 и 2023 годах этот показатель составлял 2%.</w:t>
      </w:r>
    </w:p>
    <w:p w14:paraId="3573ACCE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Вместе с тем, по мнению 41% опрошенных (2022 – 41%; 2023 – 38%), власти региона стараются в меру своих полномочий бороться с различными антикоррупционными проявлениями. На 8% снизилось количество респондентов, придерживающихся противоположной позиции (руководство региона не стремиться решать проблемы коррупции). В 2024 году данный показатель составляет 27% (2022 – 25%; 2023 – 35%).</w:t>
      </w:r>
    </w:p>
    <w:p w14:paraId="31B93D4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целях определения уровня распространенности и </w:t>
      </w:r>
      <w:proofErr w:type="spellStart"/>
      <w:r>
        <w:rPr>
          <w:color w:val="000000"/>
          <w:sz w:val="28"/>
          <w:szCs w:val="28"/>
        </w:rPr>
        <w:t>укорененности</w:t>
      </w:r>
      <w:proofErr w:type="spellEnd"/>
      <w:r>
        <w:rPr>
          <w:color w:val="000000"/>
          <w:sz w:val="28"/>
          <w:szCs w:val="28"/>
        </w:rPr>
        <w:t xml:space="preserve"> «бытовой» коррупции в Оренбургской области, участниками исследования осуществлена оценка честности органов власти и организаций.</w:t>
      </w:r>
    </w:p>
    <w:p w14:paraId="2A7133A6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основании оценки уровня коррумпированности органов власти можно сделать вывод, что более 25% респондентов считают власти Оренбургской области довольно честными. Данный показатель в 2022 году составлял 53%, 2023 – 26%, что указывает на необходимость повышения эффективности проводимой антикоррупционной работы.</w:t>
      </w:r>
    </w:p>
    <w:p w14:paraId="53D73322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01D1724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CC4C986" wp14:editId="3473EFA0">
            <wp:extent cx="5953125" cy="2971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AA5F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2906D36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Проведенные в 2022-2024 годах исследования динамики «бытовой коррупции» показали, что по мнению порядка 40% опрошенных степень распространения коррупции на местном, региональном и федеральном уровнях практически не изменилась.</w:t>
      </w:r>
    </w:p>
    <w:p w14:paraId="05E925E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целях определения наиболее коррумпированных сфер                                        при взаимодействии населения с государственными структурами, в рамках исследования проведена оценка уровня «бытовой» коррупции.</w:t>
      </w:r>
    </w:p>
    <w:p w14:paraId="5C60090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Сравнительный анализ результатов исследований, проведенных                               в период 2022-2024 годов показывает, что наиболее часто коррупционные ситуации возникают при получении </w:t>
      </w:r>
      <w:r>
        <w:rPr>
          <w:color w:val="000000"/>
          <w:sz w:val="28"/>
          <w:szCs w:val="28"/>
        </w:rPr>
        <w:lastRenderedPageBreak/>
        <w:t>бесплатной медицинской помощи              в поликлинике, в больнице; переводе из одного ВУЗа в другой, сдаче экзаменов, зачетов, защите дипломных работ; поступлении в дошкольные учреждения, нужную школу и успешным ее окончанием или обучением; получении нужной работы и обеспечении продвижения по службе.</w:t>
      </w:r>
    </w:p>
    <w:p w14:paraId="6B481468" w14:textId="77777777" w:rsidR="00304B51" w:rsidRDefault="00304B51" w:rsidP="00304B5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Вышеуказанные результаты социологического исследования, также подтверждаются проведенным комитетом анализом уголовных дел, возбужденных по преступлениям коррупционной направленности.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В 2024 году правоохранительными органами возбуждены (расследованы) уголовные дела в отношении 13 руководителей учреждений (организаций), функции учредителя для которых выполняют исполнительные органы и органы местного самоуправления, из которых на момент совершения преступлений 6 являлись руководителями образовательных учреждений (директоры МБОУ «</w:t>
      </w:r>
      <w:proofErr w:type="spellStart"/>
      <w:r>
        <w:rPr>
          <w:color w:val="000000"/>
          <w:sz w:val="28"/>
          <w:szCs w:val="28"/>
        </w:rPr>
        <w:t>Сузановская</w:t>
      </w:r>
      <w:proofErr w:type="spellEnd"/>
      <w:r>
        <w:rPr>
          <w:color w:val="000000"/>
          <w:sz w:val="28"/>
          <w:szCs w:val="28"/>
        </w:rPr>
        <w:t xml:space="preserve"> СОШ», МБОУ «</w:t>
      </w:r>
      <w:proofErr w:type="spellStart"/>
      <w:r>
        <w:rPr>
          <w:color w:val="000000"/>
          <w:sz w:val="28"/>
          <w:szCs w:val="28"/>
        </w:rPr>
        <w:t>Малозайкинская</w:t>
      </w:r>
      <w:proofErr w:type="spellEnd"/>
      <w:r>
        <w:rPr>
          <w:color w:val="000000"/>
          <w:sz w:val="28"/>
          <w:szCs w:val="28"/>
        </w:rPr>
        <w:t xml:space="preserve"> СОШ», МБОУ «Свердловская СОШ», МАУ ДЗОЛ «Лесная сказка», детского сада «Ручеек», заведующая МДОУ «Октябрьский детский сад «Сказка»). Также уголовные дела возбуждены в отношении директора ГБУ «Центральная психолого-</w:t>
      </w:r>
      <w:proofErr w:type="spellStart"/>
      <w:r>
        <w:rPr>
          <w:color w:val="000000"/>
          <w:sz w:val="28"/>
          <w:szCs w:val="28"/>
        </w:rPr>
        <w:t>медико</w:t>
      </w:r>
      <w:proofErr w:type="spellEnd"/>
      <w:r>
        <w:rPr>
          <w:color w:val="000000"/>
          <w:sz w:val="28"/>
          <w:szCs w:val="28"/>
        </w:rPr>
        <w:t xml:space="preserve"> педагогическая комиссия Оренбургской области»;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заведующего отделением ГАУЗ «ГКБ им. Н.И. Пирогова»,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врача -психиатра ГБУЗ «ООКПБ № 2»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4743CE12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Результаты исследования свидетельствуют о недостаточности проводимых мероприятий антикоррупционной направленности в указанных сферах, что требует выработки дополнительных мер, направленных                              на снижение коррупционных проявлений.</w:t>
      </w:r>
    </w:p>
    <w:p w14:paraId="0F455EC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этом, 55% респондентов указали удовлетворенность результатами обращения в государственные учреждения (2022 – 59%; 2023 – 56%), что связано с проводимой государством работой, направленной на развитие цифровых технологий и переводом значительной части государственных и муниципальных услуг в электронный формат.</w:t>
      </w:r>
    </w:p>
    <w:p w14:paraId="7351FB1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5EBC8DB6" wp14:editId="02956EFD">
            <wp:extent cx="5953125" cy="391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8D4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Вместе с тем, довольно высоким остается количество граждан, неудовлетворенных или частично удовлетворенных результатами обращения в государственные учреждения, что на практике создает потенциальную угрозу возникновения и использования коррупционного механизма удовлетворения интересов. В 2024 году этот показатель составил 42%     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2022 – 33%; 2023 – 42%).</w:t>
      </w:r>
    </w:p>
    <w:p w14:paraId="5B07E5D6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Следует отметить, что более 83% респондентов указали, что не попадали в ситуацию, когда возникала необходимость решить проблему с помощью неформального вознаграждения или подарка (2022 – 79%; 2023 – 83%).</w:t>
      </w:r>
    </w:p>
    <w:p w14:paraId="5909250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Вместе с тем, 36% опрошенных готовы совершить коррупционные действия, если потребуется получение стопроцентного результата                        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2022 – 26%; 2023 – 39%), что указывает на недостаточную эффективность проводимых мероприятий по формированию нетерпимости                                     к коррупционному поведению. Данное обстоятельство учтено комиссией                по координации работы по противодействию коррупции в Оренбургской области. Решениями комиссии от 31.05.2023 и 20.11.2024 разработаны меры, направленные на активизацию проводимой работы.</w:t>
      </w:r>
    </w:p>
    <w:p w14:paraId="4EDF233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Исследование показало определенную информированность респондентов о среднем размере взяток при взаимодействии                                                     с представителями органов власти. Так, сумму взятки в пределах от 5 до 15 тысяч рублей указывает 18% опрошенных (2022 – 7%; 2023 – 21%). Суммы, превышающие 30 тысяч рублей, обозначили 18% (2022 – 19%; 2023 – 15%).</w:t>
      </w:r>
    </w:p>
    <w:p w14:paraId="6155BC81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По мнению респондентов, основными результатами «бытовой» коррупции в 2024 году являются ускорение решения проблемы (29%), качественное решение проблемы (11%), минимизация трудностей при решении проблемы (7%). При этом, 13% опрошенных считает, что взятка помогает получить результат, который и так закреплен за функционалом должностного лица. Кроме того, более 23% респондентов считает, что взятка ничего не гарантирует (2022 – 5%; 2023 – 22%).</w:t>
      </w:r>
    </w:p>
    <w:p w14:paraId="312D996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9CF9AA8" wp14:editId="6C6CE218">
            <wp:extent cx="5905500" cy="3676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A80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этой связи целесообразно принятие дополнительных мер                                      по повышению качества работы при обращении граждан в государственные органы, в том числе путем усиления контроля со стороны руководителей                       и принятия жестких мер к виновным должностным лицам.</w:t>
      </w:r>
    </w:p>
    <w:p w14:paraId="33325F6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ходе исследования «деловой» коррупции проведен анализ мотивации и алгоритма поведения представителей бизнес-сообщества, в рамках которого изучены цели оказания влияния на действия (бездействие) должностных лиц посредством неформальных прямых или скрытых платежей.</w:t>
      </w:r>
    </w:p>
    <w:p w14:paraId="2E81B44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Согласно данным исследования, 28% респондентов указали,                                что представители бизнеса преследуют такую цель, как «использование авторитета в силу занимаемой должности для оказания воздействия                    со стороны должностного лица»; 24% – «ускоренное исполнение должностным лицом своих обязанностей»; 22% представителей бизнес-сообщества – «несовершение должностным лицом входящих в его служебные полномочия действий».</w:t>
      </w:r>
    </w:p>
    <w:p w14:paraId="40ECD4F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Анализ форм оказания влияния на действия (бездействие) должностных лиц показал, что самой популярной формой оказания влияния на действия (бездействие) должностных лиц среди бизнес-сообществ являются                       подарки – 27% (2023 – 22%). Неформальные прямые и </w:t>
      </w:r>
      <w:r>
        <w:rPr>
          <w:color w:val="000000"/>
          <w:sz w:val="28"/>
          <w:szCs w:val="28"/>
        </w:rPr>
        <w:lastRenderedPageBreak/>
        <w:t>(или) скрытые платежи отметили 17% респондентов (2023 – 12%). Неформальные услуги имущественного характера – 14% (2023 – 11%).</w:t>
      </w:r>
    </w:p>
    <w:p w14:paraId="58B1E549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мнению 25% участников исследования, такая форма как подарки, характерна для органов по архитектуре и строительству; Роспотребнадзора – 21%; налоговых органов – 18%.</w:t>
      </w:r>
    </w:p>
    <w:p w14:paraId="3BB60327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мнению респондентов в 2024 году, такая форма как подарки,                    не характерна для органов, осуществляющих деятельность по охране труда (2023 – 23%); предоставляющих в аренду помещения (2023 – 20%); реализующих функции по охране природных ресурсов и окружающей среды (2023 – 18%).</w:t>
      </w:r>
    </w:p>
    <w:p w14:paraId="50A3BCA5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Результаты исследований, проведенных в период 2022-2024 </w:t>
      </w:r>
      <w:proofErr w:type="gramStart"/>
      <w:r>
        <w:rPr>
          <w:color w:val="000000"/>
          <w:sz w:val="28"/>
          <w:szCs w:val="28"/>
        </w:rPr>
        <w:t>годов</w:t>
      </w:r>
      <w:proofErr w:type="gramEnd"/>
      <w:r>
        <w:rPr>
          <w:color w:val="000000"/>
          <w:sz w:val="28"/>
          <w:szCs w:val="28"/>
        </w:rPr>
        <w:t xml:space="preserve"> показали, что большинство респондентов никогда не осуществляли неформальные платежи для оказания влияния на действия (бездействие) должностных лиц органов власти.</w:t>
      </w:r>
    </w:p>
    <w:p w14:paraId="3488D8B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мнению 10% представителей бизнеса (2022 – 10%; 2023 – 9%) неформальные платежи ничего не гарантируют.</w:t>
      </w:r>
    </w:p>
    <w:p w14:paraId="00EF997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 этом положительный эффект от коррупционных действий отмечает 23% представителей бизнеса (2022 – 32%; 2023 – 22%), которые </w:t>
      </w:r>
      <w:proofErr w:type="gramStart"/>
      <w:r>
        <w:rPr>
          <w:color w:val="000000"/>
          <w:sz w:val="28"/>
          <w:szCs w:val="28"/>
        </w:rPr>
        <w:t xml:space="preserve">считают,   </w:t>
      </w:r>
      <w:proofErr w:type="gramEnd"/>
      <w:r>
        <w:rPr>
          <w:color w:val="000000"/>
          <w:sz w:val="28"/>
          <w:szCs w:val="28"/>
        </w:rPr>
        <w:t>                                          что неформальные платежи способствуют качественному решению проблемы, минимизируют трудности при решении возникающих проблем, а также ускоряют решение возникающих вопросов.</w:t>
      </w:r>
    </w:p>
    <w:p w14:paraId="02E00730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Как следует из материалов исследования, неформальные прямые                           и (или) скрытые платежи 29% респондентов (2023 – 30%) используют с целью обхода обременительных требований для организации, а также невыполнимых (противоречивых) требований законодательства; как и в предыдущем периоде, 20% для ускорения получения необходимых документов.</w:t>
      </w:r>
    </w:p>
    <w:p w14:paraId="67806772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рамках проведения исследования изучалось мнение представителей бизнеса о коррупции в сфере осуществления государственных                                  и муниципальных закупок.</w:t>
      </w:r>
    </w:p>
    <w:p w14:paraId="440D6FCB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 закупках на получение государственного или муниципального контракта участвовали около 19% предпринимателей (2023 – 21%). При этом, наибольшее число респондентов участвовали в конкурсах на муниципальном уровне (2024 – 10%, 2023 – 12%). На региональном и федеральном уровне              в конкурсах участвовало по 5% опрошенных представителей бизнеса          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2023 – 4% и 5% соответственно).</w:t>
      </w:r>
    </w:p>
    <w:p w14:paraId="52869523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процентном соотношение наибольшее число контрактов предпринимателями было получено на региональном уровне – 51%                    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2023 – 42%). Более 3-х контрактов предприниматели чаще получали на муниципальном уровне (2024 – 29%, 2023 – 21%).</w:t>
      </w:r>
    </w:p>
    <w:p w14:paraId="10144A1E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необходимость неформальных платежей, для получения государственных контрактов, указало в среднем около 21% предпринимателей, получивших контракт на том или ином уровне             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2023 – 12%).</w:t>
      </w:r>
    </w:p>
    <w:p w14:paraId="756C11AC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Менее 5% от стоимости контракта заплатили около 12% (2023 – 11%) предпринимателей, получивших контракты на региональном и федеральном уровнях. На муниципальном уровне данный показатель составляет 15%   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2023 – 6%).</w:t>
      </w:r>
    </w:p>
    <w:p w14:paraId="4DEEFD34" w14:textId="77777777" w:rsidR="00304B51" w:rsidRDefault="00304B51" w:rsidP="00304B51">
      <w:pPr>
        <w:pStyle w:val="a3"/>
        <w:tabs>
          <w:tab w:val="left" w:pos="298"/>
          <w:tab w:val="left" w:pos="633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Таким образом, несмотря на предпринимаемые федеральными                      и региональными властями усилия, предпринимателям приходится сталкиваться с коррупционными проявлениями при участии в сфере государственного заказа.</w:t>
      </w:r>
    </w:p>
    <w:p w14:paraId="64748855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целях обеспечения принципов конкурентности, комиссией                                по координации работы по противодействию коррупции в Оренбургской области вырабатываются меры, направленные на профилактику коррупционных правонарушений в сфере закупок товаров, работ, услуг                    для обеспечения государственных и муниципальных нужд, которые реализуются соответствующими специалистами исполнительных органов          и органов местного самоуправления Оренбургской области.</w:t>
      </w:r>
    </w:p>
    <w:p w14:paraId="659F19E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декабре 2024 года комитетом во взаимодействии с аппаратом Губернатора и Правительства Оренбургской области организован и проведен антикоррупционный форум: «Актуальные вопросы в сфере противодействия коррупции». Программа форума включала в себя обсуждение вопросов региональных и корпоративных методов противодействия коррупции, антикоррупционного поведения, в том числе психологические аспекты коррупционного поведения при осуществлении закупок товаров, работ и услуг для государственных (муниципальных) нужд и других актуальных вопросов.</w:t>
      </w:r>
    </w:p>
    <w:p w14:paraId="23B21B93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Отрицательное отношение к коррупции в 2024 году выразили 44% опрошенных представителей бизнеса (2022 – 31%; 2023 – 43%). Для 7% (2022 – 10%; 2023 – 7%) коррупция чаще мешает, чем помогает.</w:t>
      </w:r>
    </w:p>
    <w:p w14:paraId="02D889A8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Исходя из результатов исследования, 40% опрошенных выделили такую причину совершения коррупционных действий как «дали понять со стороны должностного лица» (2022 – 29%; 2023 – 37%), 31% учитывают в своей практики опыт коллег из других организаций (2022 – 35%; 2023 – 33%), 28% в качестве причины назвали «так надежнее с точки зрения интересов организации» (2022 – 36%; 2023 – 30%).</w:t>
      </w:r>
    </w:p>
    <w:p w14:paraId="4825AEC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Причинами распространения коррупции, по мнению 35% представителей бизнес-сообщества Оренбургской области является алчность чиновников и должностных лиц (2022 – 31%; 2023 – 33%); 25% представителей бизнеса причины видят в сложившихся традициях в обществе, особенностях культуры, менталитета (2022 – 17%; 2023 – 22%); 16% причиной считают сложное, противоречивое законодательство (2022 – 6%; 2023 – 15%).</w:t>
      </w:r>
    </w:p>
    <w:p w14:paraId="68AFADDD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282A9301" wp14:editId="04565094">
            <wp:extent cx="5819775" cy="401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DB64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t> </w:t>
      </w:r>
    </w:p>
    <w:p w14:paraId="46C65894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рамках подготовки к заседанию комиссии, проведен сравнительный анализ результатов регионального исследования с показателями исследования, проведенного Торгово-промышленной палатой Российской Федерации «Бизнес-барометр коррупции».</w:t>
      </w:r>
    </w:p>
    <w:p w14:paraId="42410A05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Согласно данным «Бизнес-барометра коррупции», самыми коррумпированными сферами предпринимательской деятельности являются: закупки для государственных нужд – 38%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(2023 – 42%); получение разрешений, справок, сертификатов, лицензирование, аккредитация – 39% (2023 – 36%); контроль (надзор) за предпринимательской деятельностью, взаимодействие с проверяющими органами – 34% (2023 – 35%); регистрация сделок с недвижимостью, земельные отношения – 24% (2023 – 24%); соблюдение санитарно-эпидемиологических норм – 20% (2023 – 15%); получение мер государственной поддержки – 19% (2023 – 19%); природоохранная среда – 11% (2023 – 12%).</w:t>
      </w:r>
    </w:p>
    <w:p w14:paraId="542A3D01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Основными причинами распространения коррупции по мнению 48% является недобросовестная конкуренция; безнаказанность чиновников                    и должностных лиц – 40%; сложное, противоречивое законодательство – 37%; национальные традиции и менталитет – 35%; алчность чиновников                         и должностных лиц – 32%; желание иметь преимущества в бизнесе – 29%; юридическая неграмотность предпринимателей в сфере противодействия коррупции – 20%.</w:t>
      </w:r>
    </w:p>
    <w:p w14:paraId="73732B5F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образом, исходя из поставленных в исследованиях вопросов, причины распространения коррупции, установленные региональным исследованием, в целом идентичны данным опроса, </w:t>
      </w:r>
      <w:r>
        <w:rPr>
          <w:color w:val="000000"/>
          <w:sz w:val="28"/>
          <w:szCs w:val="28"/>
        </w:rPr>
        <w:lastRenderedPageBreak/>
        <w:t>проведенного                    Торгово-промышленной палатой Российской Федерации.</w:t>
      </w:r>
    </w:p>
    <w:p w14:paraId="2453DDD0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 целью исправления сложившейся ситуации, по нашему мнению, целесообразно дальнейшее совершенствование нормативно-правовой базы, нацеленной на устранение избыточного административного регулирования деятельности бизнеса, сокращение различных административных барьеров при осуществлении предпринимательской деятельности, четкое разграничение функций по лицензированию, контролю и государственному регулированию между различными исполнительными органами . Необходима дальнейшая активизация работы по взаимодействию со средствами массовой информации, направленная на освещение деятельности по противодействию коррупции, проведению разъяснительной работы с населением области.</w:t>
      </w:r>
    </w:p>
    <w:p w14:paraId="4071499B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Для повышения эффективности работы исполнительных органов, органов местного самоуправления, необходима обратная связь с жителями региона, существенной составляющей которой являются обращения граждан в органы власти. Обращения традиционно играют важную роль в процессе управления, так как с их помощью осуществляется связь с населением, контроль за деятельностью государственных органов и органов местного самоуправления, а также реализация законных прав граждан.</w:t>
      </w:r>
    </w:p>
    <w:p w14:paraId="55219F5E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основании проведенных исследований, для повышения качественной составляющей показателей оценки, считаем целесообразным:</w:t>
      </w:r>
    </w:p>
    <w:p w14:paraId="05EBADBF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 С целью поддержания в общественном сознании представления                        о коррупции как о социальной патологии, снижения уровня распространения коррупции, продолжить мероприятия по формированию нетерпимости граждан к коррупционным проявлениям. В этих целях активизировать привлечение средств массовой информации и жителей Оренбургской области     к участию в проводимых мероприятиях антикоррупционной направленности.</w:t>
      </w:r>
    </w:p>
    <w:p w14:paraId="3D752EA3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Продолжить работу с институтами гражданского общества по формировании негативного отношения к коррупции у жителей региона.</w:t>
      </w:r>
    </w:p>
    <w:p w14:paraId="538AEA2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Расширить практику получения населением государственных и муниципальных услуг в электронном формате, а также посредством многофункциональных центров. Принять меры по совершенствованию регламентов оказания государственных и муниципальных услуг, устранению существующих барьеров при их получении, а также упрощению процедур лицензирования и надзора.</w:t>
      </w:r>
    </w:p>
    <w:p w14:paraId="1346745A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 Продолжить практику проведения мероприятий в организациях, осуществляющих предоставление государственных и муниципальных услуг, в части повышения эффективности антикоррупционной работы, направленной на снижение количества фактов коррупционных проявлений, обратив особое внимание на выявление фактов «бытовой» коррупции, а также на освещение результатов данной работы в средствах массовой информации.</w:t>
      </w:r>
    </w:p>
    <w:p w14:paraId="10EA566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5. Реализовать мероприятия, направленные на профилактику коррупционных правонарушений </w:t>
      </w:r>
      <w:r>
        <w:rPr>
          <w:color w:val="000000"/>
          <w:sz w:val="28"/>
          <w:szCs w:val="28"/>
          <w:shd w:val="clear" w:color="auto" w:fill="FFFFFF"/>
        </w:rPr>
        <w:t>в сфере закупок товаров, работ, услуг для обеспечения государственных или муниципальных нужд</w:t>
      </w:r>
      <w:r>
        <w:rPr>
          <w:color w:val="000000"/>
          <w:sz w:val="28"/>
          <w:szCs w:val="28"/>
        </w:rPr>
        <w:t>.</w:t>
      </w:r>
    </w:p>
    <w:p w14:paraId="090229C8" w14:textId="77777777" w:rsidR="00304B51" w:rsidRDefault="00304B51" w:rsidP="00304B51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Следует отметить, что 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14:paraId="33098824" w14:textId="77777777" w:rsidR="00304B51" w:rsidRDefault="00304B51" w:rsidP="00304B51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Противодействие коррупции представляет собой системную                          и целенаправленную деятельность исполнительных органов, органов местного самоуправления муниципальных образований, институтов гражданского общества по формированию у граждан нетерпимого отношения к коррупции.</w:t>
      </w:r>
    </w:p>
    <w:p w14:paraId="0FB8A68C" w14:textId="77777777" w:rsidR="00304B51" w:rsidRDefault="00304B51" w:rsidP="00304B51">
      <w:pPr>
        <w:pStyle w:val="a3"/>
        <w:tabs>
          <w:tab w:val="left" w:pos="29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Конкретные мероприятия включены в проект решения заседания Комиссии по координации работы по противодействию коррупции                        в Оренбургской области.</w:t>
      </w:r>
    </w:p>
    <w:p w14:paraId="4DE3F228" w14:textId="77777777" w:rsidR="00862D05" w:rsidRDefault="00862D05"/>
    <w:sectPr w:rsidR="0086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66"/>
    <w:rsid w:val="00304B51"/>
    <w:rsid w:val="00862D05"/>
    <w:rsid w:val="00C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DE338-DBC2-49CD-8B2D-C2EB3ED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8291,bqiaagaaeyqcaaagiaiaaan4rqyabyatbgaaaaaaaaaaaaaaaaaaaaaaaaaaaaaaaaaaaaaaaaaaaaaaaaaaaaaaaaaaaaaaaaaaaaaaaaaaaaaaaaaaaaaaaaaaaaaaaaaaaaaaaaaaaaaaaaaaaaaaaaaaaaaaaaaaaaaaaaaaaaaaaaaaaaaaaaaaaaaaaaaaaaaaaaaaaaaaaaaaaaaaaaaaaaaaaaaaaa"/>
    <w:basedOn w:val="a"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3418</Words>
  <Characters>19485</Characters>
  <Application>Microsoft Office Word</Application>
  <DocSecurity>0</DocSecurity>
  <Lines>162</Lines>
  <Paragraphs>45</Paragraphs>
  <ScaleCrop>false</ScaleCrop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2025-06-02T11:23:00Z</dcterms:created>
  <dcterms:modified xsi:type="dcterms:W3CDTF">2025-06-02T11:24:00Z</dcterms:modified>
</cp:coreProperties>
</file>