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2402" cy="323514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16576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982402" cy="3235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34.8pt;height:254.7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jc w:val="center"/>
        <w:rPr>
          <w:rFonts w:ascii="Roboto Medium" w:hAnsi="Roboto Medium" w:cs="Roboto Medium"/>
          <w:b/>
          <w:bCs/>
          <w:sz w:val="28"/>
          <w:szCs w:val="28"/>
          <w:highlight w:val="none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 xml:space="preserve">КОНТРОЛЬ ЗА СООТВЕТСТВИЕМ</w:t>
      </w:r>
      <w:r>
        <w:rPr>
          <w:rFonts w:ascii="Roboto Medium" w:hAnsi="Roboto Medium" w:cs="Roboto Medium"/>
          <w:b/>
          <w:bCs/>
          <w:sz w:val="28"/>
          <w:szCs w:val="28"/>
        </w:rPr>
      </w:r>
      <w:r>
        <w:rPr>
          <w:rFonts w:ascii="Roboto Medium" w:hAnsi="Roboto Medium" w:cs="Roboto Medium"/>
        </w:rPr>
      </w:r>
    </w:p>
    <w:p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 xml:space="preserve">РАСХОДОВ ГОСУДАРСТВЕННЫХ</w:t>
      </w:r>
      <w:r>
        <w:rPr>
          <w:rFonts w:ascii="Roboto Medium" w:hAnsi="Roboto Medium" w:cs="Roboto Medium"/>
          <w:b/>
          <w:bCs/>
          <w:sz w:val="28"/>
          <w:szCs w:val="28"/>
        </w:rPr>
      </w:r>
      <w:r>
        <w:rPr>
          <w:rFonts w:ascii="Roboto Medium" w:hAnsi="Roboto Medium" w:cs="Roboto Medium"/>
        </w:rPr>
      </w:r>
    </w:p>
    <w:p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 xml:space="preserve">И МУНИЦИПАЛЬНЫХ</w:t>
      </w:r>
      <w:r>
        <w:rPr>
          <w:rFonts w:ascii="Roboto Medium" w:hAnsi="Roboto Medium" w:cs="Roboto Medium"/>
          <w:b/>
          <w:bCs/>
          <w:sz w:val="28"/>
          <w:szCs w:val="28"/>
        </w:rPr>
      </w:r>
      <w:r>
        <w:rPr>
          <w:rFonts w:ascii="Roboto Medium" w:hAnsi="Roboto Medium" w:cs="Roboto Medium"/>
        </w:rPr>
      </w:r>
    </w:p>
    <w:p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 xml:space="preserve">СЛУЖАЩИХ ИХ ДОХОДАМ</w:t>
      </w:r>
      <w:r>
        <w:rPr>
          <w:rFonts w:ascii="Roboto Medium" w:hAnsi="Roboto Medium" w:cs="Roboto Medium"/>
          <w:b/>
          <w:bCs/>
          <w:sz w:val="28"/>
          <w:szCs w:val="28"/>
        </w:rPr>
      </w:r>
      <w:r>
        <w:rPr>
          <w:rFonts w:ascii="Roboto Medium" w:hAnsi="Roboto Medium" w:cs="Roboto Medium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ПАМЯТКА ДЛЯ СЛУЖАЩИХ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Институт контроля за расходами чиновников введен в действие с </w:t>
      </w:r>
      <w:r>
        <w:rPr>
          <w:rFonts w:ascii="Times New Roman" w:hAnsi="Times New Roman" w:cs="Times New Roman"/>
          <w:sz w:val="28"/>
          <w:szCs w:val="28"/>
        </w:rPr>
        <w:t xml:space="preserve">1 января 2013 г. Федеральным законом от 03.12.2012 No 230-ФЗ «О кон</w:t>
      </w:r>
      <w:r>
        <w:rPr>
          <w:rFonts w:ascii="Times New Roman" w:hAnsi="Times New Roman" w:cs="Times New Roman"/>
          <w:sz w:val="28"/>
          <w:szCs w:val="28"/>
        </w:rPr>
        <w:t xml:space="preserve">троле за соответствием расходов лиц, замещающих государственные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должности, и иных лиц их доходам».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В случае, если чиновник или члены его семьи (супруг/супруга, не</w:t>
      </w:r>
      <w:r>
        <w:rPr>
          <w:rFonts w:ascii="Times New Roman" w:hAnsi="Times New Roman" w:cs="Times New Roman"/>
          <w:sz w:val="28"/>
          <w:szCs w:val="28"/>
        </w:rPr>
        <w:t xml:space="preserve">совершеннолетние дети) в течение отчетного года расходуют на совер</w:t>
      </w:r>
      <w:r>
        <w:rPr>
          <w:rFonts w:ascii="Times New Roman" w:hAnsi="Times New Roman" w:cs="Times New Roman"/>
          <w:sz w:val="28"/>
          <w:szCs w:val="28"/>
        </w:rPr>
        <w:t xml:space="preserve">шение сделок по приобретению недвижимости, транспортных средств,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ценных бумаг сумму, превышающую общий доход данного лица,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супруги (супруга) за три последних года, то в отношении его принима</w:t>
      </w:r>
      <w:r>
        <w:rPr>
          <w:rFonts w:ascii="Times New Roman" w:hAnsi="Times New Roman" w:cs="Times New Roman"/>
          <w:sz w:val="28"/>
          <w:szCs w:val="28"/>
        </w:rPr>
        <w:t xml:space="preserve">ется решение об осуществлении контроля за расходами.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Законом установлен порядок осуществления контроля за расхода</w:t>
      </w:r>
      <w:r>
        <w:rPr>
          <w:rFonts w:ascii="Times New Roman" w:hAnsi="Times New Roman" w:cs="Times New Roman"/>
          <w:sz w:val="28"/>
          <w:szCs w:val="28"/>
        </w:rPr>
        <w:t xml:space="preserve">ми чиновников, их супруг (супругов) и несовершеннолетних детей,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механизм обращения в доход государства имущества,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которого не представлено сведений, подтверждающих его приоб</w:t>
      </w:r>
      <w:r>
        <w:rPr>
          <w:rFonts w:ascii="Times New Roman" w:hAnsi="Times New Roman" w:cs="Times New Roman"/>
          <w:sz w:val="28"/>
          <w:szCs w:val="28"/>
        </w:rPr>
        <w:t xml:space="preserve">ретение на законные доходы.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5042" cy="468368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502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055041" cy="468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8.0pt;height:368.8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20"/>
        <w:jc w:val="both"/>
        <w:spacing w:after="0" w:afterAutospacing="0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ЛИЦА, ЧЬИ РАСХОДЫ ПОДЛЕЖАТ КОНТРОЛЮ: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Занимающие (замещающие):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государственные должности Российской Федерации,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которых федеральными конституционными законами или</w:t>
      </w:r>
      <w:r>
        <w:rPr>
          <w:rFonts w:ascii="Times New Roman" w:hAnsi="Times New Roman" w:cs="Times New Roman"/>
          <w:sz w:val="28"/>
          <w:szCs w:val="28"/>
        </w:rPr>
        <w:t xml:space="preserve"> федеральными законами не установлен иной порядок осущест</w:t>
      </w:r>
      <w:r>
        <w:rPr>
          <w:rFonts w:ascii="Times New Roman" w:hAnsi="Times New Roman" w:cs="Times New Roman"/>
          <w:sz w:val="28"/>
          <w:szCs w:val="28"/>
        </w:rPr>
        <w:t xml:space="preserve">вления контроля за расходами;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членов Совета директоров Центрального банка Рос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государственные должности субъектов Российской Федерации;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муниципальные должности;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федеральной государственной службы, включенные</w:t>
      </w:r>
      <w:r>
        <w:rPr>
          <w:rFonts w:ascii="Times New Roman" w:hAnsi="Times New Roman" w:cs="Times New Roman"/>
          <w:sz w:val="28"/>
          <w:szCs w:val="28"/>
        </w:rPr>
        <w:t xml:space="preserve"> в перечни, установленные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РФ;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государственной гражданской службы субъектов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включенные в перечни, установленные</w:t>
      </w:r>
      <w:r>
        <w:rPr>
          <w:rFonts w:ascii="Times New Roman" w:hAnsi="Times New Roman" w:cs="Times New Roman"/>
          <w:sz w:val="28"/>
          <w:szCs w:val="28"/>
        </w:rPr>
        <w:t xml:space="preserve"> законами и иными нормативными правовыми актами субъек</w:t>
      </w:r>
      <w:r>
        <w:rPr>
          <w:rFonts w:ascii="Times New Roman" w:hAnsi="Times New Roman" w:cs="Times New Roman"/>
          <w:sz w:val="28"/>
          <w:szCs w:val="28"/>
        </w:rPr>
        <w:t xml:space="preserve">тов РФ;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муниципальной службы, включенные в перечни,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законами, иными нормативными правовыми</w:t>
      </w:r>
      <w:r>
        <w:rPr>
          <w:rFonts w:ascii="Times New Roman" w:hAnsi="Times New Roman" w:cs="Times New Roman"/>
          <w:sz w:val="28"/>
          <w:szCs w:val="28"/>
        </w:rPr>
        <w:t xml:space="preserve"> актами субъектов РФ и муниципальными нормативными пра</w:t>
      </w:r>
      <w:r>
        <w:rPr>
          <w:rFonts w:ascii="Times New Roman" w:hAnsi="Times New Roman" w:cs="Times New Roman"/>
          <w:sz w:val="28"/>
          <w:szCs w:val="28"/>
        </w:rPr>
        <w:t xml:space="preserve">вовыми актами;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в Банке России, перечень которых утвержден Сове</w:t>
      </w:r>
      <w:r>
        <w:rPr>
          <w:rFonts w:ascii="Times New Roman" w:hAnsi="Times New Roman" w:cs="Times New Roman"/>
          <w:sz w:val="28"/>
          <w:szCs w:val="28"/>
        </w:rPr>
        <w:t xml:space="preserve">том директоров Банка России;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в государственных корпорациях, включенные в пе</w:t>
      </w:r>
      <w:r>
        <w:rPr>
          <w:rFonts w:ascii="Times New Roman" w:hAnsi="Times New Roman" w:cs="Times New Roman"/>
          <w:sz w:val="28"/>
          <w:szCs w:val="28"/>
        </w:rPr>
        <w:t xml:space="preserve">речни, установленные нормативными правовыми актами РФ;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в ПФР, ФСС, ФФОМС, включенные в перечни, уста</w:t>
      </w:r>
      <w:r>
        <w:rPr>
          <w:rFonts w:ascii="Times New Roman" w:hAnsi="Times New Roman" w:cs="Times New Roman"/>
          <w:sz w:val="28"/>
          <w:szCs w:val="28"/>
        </w:rPr>
        <w:t xml:space="preserve">новленные нормативными правовыми актами РФ;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должности в иных организациях, созданных РФ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федеральных законов, включенные в перечни, установленные</w:t>
      </w:r>
      <w:r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 РФ;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отдельные должности на основании трудового договора в ор</w:t>
      </w:r>
      <w:r>
        <w:rPr>
          <w:rFonts w:ascii="Times New Roman" w:hAnsi="Times New Roman" w:cs="Times New Roman"/>
          <w:sz w:val="28"/>
          <w:szCs w:val="28"/>
        </w:rPr>
        <w:t xml:space="preserve">ганизациях, создаваемых для выполнения задач, поставленных</w:t>
      </w:r>
      <w:r>
        <w:rPr>
          <w:rFonts w:ascii="Times New Roman" w:hAnsi="Times New Roman" w:cs="Times New Roman"/>
          <w:sz w:val="28"/>
          <w:szCs w:val="28"/>
        </w:rPr>
        <w:t xml:space="preserve"> перед федеральными государственными органами, включенные</w:t>
      </w:r>
      <w:r>
        <w:rPr>
          <w:rFonts w:ascii="Times New Roman" w:hAnsi="Times New Roman" w:cs="Times New Roman"/>
          <w:sz w:val="28"/>
          <w:szCs w:val="28"/>
        </w:rPr>
        <w:t xml:space="preserve"> в перечни, установленные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органов.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ЭТИ ЛИЦА ПРЕДСТАВЛЯЮТ СВЕДЕНИЯ О РАСХОДАХ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ОБ ИСТОЧНИКАХ ПОЛУЧЕНИЯ СРЕДСТВ ЕЖЕГОДНО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ОТНОШЕНИИ КАЖДОЙ СДЕЛКИ ПО ПРИОБРЕТЕНИЮ: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sectPr>
          <w:headerReference w:type="default" r:id="rId9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847"/>
        <w:numPr>
          <w:ilvl w:val="0"/>
          <w:numId w:val="6"/>
        </w:numPr>
        <w:contextualSpacing w:val="0"/>
        <w:ind w:left="371"/>
        <w:spacing w:after="176" w:afterAutospacing="0"/>
        <w:rPr>
          <w:rFonts w:ascii="Times New Roman" w:hAnsi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cs="Times New Roman"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384" behindDoc="0" locked="0" layoutInCell="1" allowOverlap="1">
                <wp:simplePos x="0" y="0"/>
                <wp:positionH relativeFrom="column">
                  <wp:posOffset>-288585</wp:posOffset>
                </wp:positionH>
                <wp:positionV relativeFrom="paragraph">
                  <wp:posOffset>1187417</wp:posOffset>
                </wp:positionV>
                <wp:extent cx="2025625" cy="1462951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83195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025625" cy="14629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16384;o:allowoverlap:true;o:allowincell:true;mso-position-horizontal-relative:text;margin-left:-22.7pt;mso-position-horizontal:absolute;mso-position-vertical-relative:text;margin-top:93.5pt;mso-position-vertical:absolute;width:159.5pt;height:115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объектов недви</w:t>
      </w:r>
      <w:r>
        <w:rPr>
          <w:rFonts w:ascii="Times New Roman" w:hAnsi="Times New Roman" w:cs="Times New Roman"/>
          <w:sz w:val="24"/>
          <w:szCs w:val="24"/>
        </w:rPr>
        <w:t xml:space="preserve">жимости (земельные</w:t>
      </w:r>
      <w:r>
        <w:rPr>
          <w:rFonts w:ascii="Times New Roman" w:hAnsi="Times New Roman" w:cs="Times New Roman"/>
          <w:sz w:val="24"/>
          <w:szCs w:val="24"/>
        </w:rPr>
        <w:t xml:space="preserve"> участки, квартиры </w:t>
      </w:r>
      <w:r>
        <w:rPr>
          <w:rFonts w:ascii="Times New Roman" w:hAnsi="Times New Roman" w:cs="Times New Roman"/>
          <w:sz w:val="24"/>
          <w:szCs w:val="24"/>
        </w:rPr>
        <w:t xml:space="preserve">дома и др.);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47"/>
        <w:numPr>
          <w:ilvl w:val="0"/>
          <w:numId w:val="5"/>
        </w:numPr>
      </w:pPr>
      <w:r>
        <w:t xml:space="preserve">транспортных </w:t>
      </w:r>
      <w:r>
        <w:t xml:space="preserve">средств (автомобиль, мотоцикл, лодка, катер,самолет,</w:t>
      </w:r>
      <w:r>
        <w:t xml:space="preserve">вер</w:t>
      </w:r>
      <w:r>
        <w:t xml:space="preserve">толет и др.);</w:t>
      </w:r>
      <w:r>
        <w:rPr>
          <w:highlight w:val="none"/>
        </w:rPr>
      </w:r>
      <w:r/>
    </w:p>
    <w:p>
      <w:pPr>
        <w:pStyle w:val="847"/>
        <w:numPr>
          <w:ilvl w:val="0"/>
          <w:numId w:val="5"/>
        </w:numPr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3" w:sep="0" w:space="709" w:equalWidth="1"/>
          <w:docGrid w:linePitch="360"/>
        </w:sectPr>
      </w:pPr>
      <w:r>
        <w:t xml:space="preserve">ценных бумаг (долей участия, паев в уставных (складочных) капиталах</w:t>
      </w:r>
      <w:r>
        <w:t xml:space="preserve"> организаций);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867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299101</wp:posOffset>
                </wp:positionV>
                <wp:extent cx="1983657" cy="111580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7455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983656" cy="1115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8672;o:allowoverlap:true;o:allowincell:true;mso-position-horizontal-relative:text;margin-left:342.8pt;mso-position-horizontal:absolute;mso-position-vertical-relative:text;margin-top:23.6pt;mso-position-vertical:absolute;width:156.2pt;height:87.9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2169407</wp:posOffset>
                </wp:positionH>
                <wp:positionV relativeFrom="paragraph">
                  <wp:posOffset>13868</wp:posOffset>
                </wp:positionV>
                <wp:extent cx="2008690" cy="133912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15759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2008689" cy="1339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3552;o:allowoverlap:true;o:allowincell:true;mso-position-horizontal-relative:text;margin-left:170.8pt;mso-position-horizontal:absolute;mso-position-vertical-relative:text;margin-top:1.1pt;mso-position-vertical:absolute;width:158.2pt;height:105.4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случаях: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сделка совершена в течение календарного года;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общая сумма таких сделок превышает общий доход супругов за </w:t>
      </w:r>
      <w:r>
        <w:rPr>
          <w:rFonts w:ascii="Times New Roman" w:hAnsi="Times New Roman" w:cs="Times New Roman"/>
          <w:sz w:val="24"/>
          <w:szCs w:val="24"/>
        </w:rPr>
        <w:t xml:space="preserve">последние три года, предшест</w:t>
      </w:r>
      <w:r>
        <w:rPr>
          <w:rFonts w:ascii="Times New Roman" w:hAnsi="Times New Roman" w:cs="Times New Roman"/>
          <w:sz w:val="24"/>
          <w:szCs w:val="24"/>
        </w:rPr>
        <w:t xml:space="preserve">вующие совершению контролируемой </w:t>
      </w:r>
      <w:r>
        <w:rPr>
          <w:rFonts w:ascii="Times New Roman" w:hAnsi="Times New Roman" w:cs="Times New Roman"/>
          <w:sz w:val="24"/>
          <w:szCs w:val="24"/>
        </w:rPr>
        <w:t xml:space="preserve">сделки.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r/>
      <w:r/>
    </w:p>
    <w:p>
      <w:r/>
      <w:r/>
    </w:p>
    <w:p>
      <w:pPr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-107610</wp:posOffset>
                </wp:positionH>
                <wp:positionV relativeFrom="paragraph">
                  <wp:posOffset>244420</wp:posOffset>
                </wp:positionV>
                <wp:extent cx="6105525" cy="895350"/>
                <wp:effectExtent l="6350" t="6350" r="6350" b="635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6105524" cy="8953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АЖНО! Обязанность по представлению сведений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о расходах по контролируемым сделкам возникает в отношении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сделок, совершенных с 1 января 2012 г.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highlight w:val="none"/>
                              </w:rPr>
                            </w:r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" type="#_x0000_t2" style="position:absolute;z-index:9216;o:allowoverlap:true;o:allowincell:true;mso-position-horizontal-relative:text;margin-left:-8.5pt;mso-position-horizontal:absolute;mso-position-vertical-relative:text;margin-top:19.2pt;mso-position-vertical:absolute;width:480.8pt;height:70.5pt;mso-wrap-distance-left:9.1pt;mso-wrap-distance-top:0.0pt;mso-wrap-distance-right:9.1pt;mso-wrap-distance-bottom:0.0pt;v-text-anchor:middle;visibility:visible;" fillcolor="#5B9BD5" strokecolor="#2D4D6A" strokeweight="1.00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АЖНО! Обязанность по представлению сведений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о расходах по контролируемым сделкам возникает в отношении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сделок, совершенных с 1 января 2012 г.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pPr>
        <w:ind w:firstLine="720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ОСНОВАНИЕМ</w:t>
      </w:r>
      <w:r>
        <w:rPr>
          <w:rFonts w:ascii="Times New Roman" w:hAnsi="Times New Roman" w:cs="Times New Roman"/>
          <w:sz w:val="28"/>
          <w:szCs w:val="28"/>
        </w:rPr>
        <w:t xml:space="preserve"> для принятия решения об осуществлении контро</w:t>
      </w:r>
      <w:r>
        <w:rPr>
          <w:rFonts w:ascii="Times New Roman" w:hAnsi="Times New Roman" w:cs="Times New Roman"/>
          <w:sz w:val="28"/>
          <w:szCs w:val="28"/>
        </w:rPr>
        <w:t xml:space="preserve">ля за расходами является достаточная информация о том, что лицом,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супругом (супругой) или несовершеннолетними детьми совершена</w:t>
      </w:r>
      <w:r>
        <w:rPr>
          <w:rFonts w:ascii="Times New Roman" w:hAnsi="Times New Roman" w:cs="Times New Roman"/>
          <w:sz w:val="28"/>
          <w:szCs w:val="28"/>
        </w:rPr>
        <w:t xml:space="preserve"> сделка по приобретению имущества на сумму, превышающую доход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три последних г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1744" behindDoc="0" locked="0" layoutInCell="1" allowOverlap="1">
                <wp:simplePos x="0" y="0"/>
                <wp:positionH relativeFrom="column">
                  <wp:posOffset>444840</wp:posOffset>
                </wp:positionH>
                <wp:positionV relativeFrom="paragraph">
                  <wp:posOffset>1273203</wp:posOffset>
                </wp:positionV>
                <wp:extent cx="5181260" cy="3945578"/>
                <wp:effectExtent l="0" t="0" r="0" b="0"/>
                <wp:wrapNone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216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5181259" cy="3945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31744;o:allowoverlap:true;o:allowincell:true;mso-position-horizontal-relative:text;margin-left:35.0pt;mso-position-horizontal:absolute;mso-position-vertical-relative:text;margin-top:100.3pt;mso-position-vertical:absolute;width:408.0pt;height:310.7pt;mso-wrap-distance-left:9.1pt;mso-wrap-distance-top:0.0pt;mso-wrap-distance-right:9.1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ода.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</w:pPr>
      <w:r/>
      <w:r/>
    </w:p>
    <w:p>
      <w:r/>
      <w:r/>
    </w:p>
    <w:p>
      <w:r/>
      <w:r/>
    </w:p>
    <w:p>
      <w:r>
        <w:rPr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5840" behindDoc="0" locked="0" layoutInCell="1" allowOverlap="1">
                <wp:simplePos x="0" y="0"/>
                <wp:positionH relativeFrom="column">
                  <wp:posOffset>1140165</wp:posOffset>
                </wp:positionH>
                <wp:positionV relativeFrom="paragraph">
                  <wp:posOffset>-307635</wp:posOffset>
                </wp:positionV>
                <wp:extent cx="1466850" cy="1466850"/>
                <wp:effectExtent l="0" t="0" r="0" b="0"/>
                <wp:wrapNone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1036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1466849" cy="1466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35840;o:allowoverlap:true;o:allowincell:true;mso-position-horizontal-relative:text;margin-left:89.8pt;mso-position-horizontal:absolute;mso-position-vertical-relative:text;margin-top:-24.2pt;mso-position-vertical:absolute;width:115.5pt;height:115.5pt;mso-wrap-distance-left:9.1pt;mso-wrap-distance-top:0.0pt;mso-wrap-distance-right:9.1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w:rPr>
          <w:highlight w:val="none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 ИНФОРМАЦИЯ В ПИСЬМЕННОЙ ФОРМЕ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МОЖЕТ БЫТЬ ПРЕДСТАВЛЕНА: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правоохранительными органами, иными государственными</w:t>
      </w:r>
      <w:r>
        <w:rPr>
          <w:rFonts w:ascii="Times New Roman" w:hAnsi="Times New Roman" w:cs="Times New Roman"/>
          <w:sz w:val="28"/>
          <w:szCs w:val="28"/>
        </w:rPr>
        <w:t xml:space="preserve"> органами, органами местного самоуправления,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подразделений по профилактике коррупционных правонару</w:t>
      </w:r>
      <w:r>
        <w:rPr>
          <w:rFonts w:ascii="Times New Roman" w:hAnsi="Times New Roman" w:cs="Times New Roman"/>
          <w:sz w:val="28"/>
          <w:szCs w:val="28"/>
        </w:rPr>
        <w:t xml:space="preserve">шений, должностными лицами Банка России,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корпорации, ПФР, ФСС, ФОМС;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•  руководящими органами политических партий и общеросси</w:t>
      </w:r>
      <w:r>
        <w:rPr>
          <w:rFonts w:ascii="Times New Roman" w:hAnsi="Times New Roman" w:cs="Times New Roman"/>
          <w:sz w:val="28"/>
          <w:szCs w:val="28"/>
        </w:rPr>
        <w:t xml:space="preserve">йских общественных объединений;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Общественной палатой Российской Федерации;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общероссийскими СМИ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ПРОЦЕДУРА ОСУЩЕСТВЛЕНИЯ КОНТРОЛЯ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7104" behindDoc="0" locked="0" layoutInCell="1" allowOverlap="1">
                <wp:simplePos x="0" y="0"/>
                <wp:positionH relativeFrom="column">
                  <wp:posOffset>1606890</wp:posOffset>
                </wp:positionH>
                <wp:positionV relativeFrom="paragraph">
                  <wp:posOffset>361377</wp:posOffset>
                </wp:positionV>
                <wp:extent cx="2447925" cy="4419600"/>
                <wp:effectExtent l="6350" t="6350" r="6350" b="635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447924" cy="44195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Проверка достоверности и полноты представленных сведений.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highlight w:val="none"/>
                              </w:rPr>
                              <w:t xml:space="preserve">Может проводиться самостоятельно или путем направления запроса в федеральные органы исполнительной власти, уполномоченные на осуществление оперативно-розыскной деятельности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highlight w:val="none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8" o:spid="_x0000_s8" o:spt="2" type="#_x0000_t2" style="position:absolute;z-index:47104;o:allowoverlap:true;o:allowincell:true;mso-position-horizontal-relative:text;margin-left:126.5pt;mso-position-horizontal:absolute;mso-position-vertical-relative:text;margin-top:28.5pt;mso-position-vertical:absolute;width:192.8pt;height:348.0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Проверка достоверности и полноты представленных сведений.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Может проводиться самостоятельно или путем направления запроса в федеральные органы исполнительной власти, уполномоченные на осуществление оперативно-розыскной деятельности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361377</wp:posOffset>
                </wp:positionV>
                <wp:extent cx="2245065" cy="4333737"/>
                <wp:effectExtent l="6350" t="6350" r="6350" b="635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245064" cy="43337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>
                            <a:alpha val="99999"/>
                          </a:srgb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0"/>
                              <w:jc w:val="center"/>
                              <w:spacing w:after="96" w:afterAutospacing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highlight w:val="none"/>
                              </w:rPr>
                              <w:suppressLineNumbers w:val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Истребование от лица сведений: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highlight w:val="none"/>
                              </w:rPr>
                            </w:r>
                            <w:r/>
                          </w:p>
                          <w:p>
                            <w:pPr>
                              <w:pStyle w:val="847"/>
                              <w:numPr>
                                <w:ilvl w:val="0"/>
                                <w:numId w:val="10"/>
                              </w:numPr>
                              <w:ind w:left="283" w:right="0" w:hanging="142"/>
                              <w:jc w:val="left"/>
                              <w:spacing w:after="96" w:afterAutospacing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suppressLineNumbers w:val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highlight w:val="none"/>
                              </w:rPr>
                              <w:t xml:space="preserve"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r>
                            <w:r/>
                          </w:p>
                          <w:p>
                            <w:pPr>
                              <w:pStyle w:val="847"/>
                              <w:numPr>
                                <w:ilvl w:val="0"/>
                                <w:numId w:val="10"/>
                              </w:numPr>
                              <w:ind w:left="283" w:right="0" w:hanging="142"/>
                              <w:jc w:val="left"/>
                              <w:spacing w:after="96" w:afterAutospacing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suppressLineNumbers w:val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highlight w:val="none"/>
                              </w:rPr>
                              <w:t xml:space="preserve">Об источниках получения средств, за счет которых совершена такая сделка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" type="#_x0000_t2" style="position:absolute;z-index:40960;o:allowoverlap:true;o:allowincell:true;mso-position-horizontal-relative:text;margin-left:-62.2pt;mso-position-horizontal:absolute;mso-position-vertical-relative:text;margin-top:28.5pt;mso-position-vertical:absolute;width:176.8pt;height:341.2pt;mso-wrap-distance-left:9.1pt;mso-wrap-distance-top:0.0pt;mso-wrap-distance-right:9.1pt;mso-wrap-distance-bottom:0.0pt;v-text-anchor:middle;visibility:visible;" fillcolor="#0070C0" strokecolor="#000000" strokeweight="1.00pt">
                <v:fill opacity="-65178f"/>
                <v:stroke dashstyle="solid"/>
                <v:textbox inset="0,0,0,0">
                  <w:txbxContent>
                    <w:p>
                      <w:pPr>
                        <w:ind w:firstLine="0"/>
                        <w:jc w:val="center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Истребование от лица сведений: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pStyle w:val="847"/>
                        <w:numPr>
                          <w:ilvl w:val="0"/>
                          <w:numId w:val="10"/>
                        </w:numPr>
                        <w:ind w:left="283" w:right="0" w:hanging="142"/>
                        <w:jc w:val="left"/>
                        <w:spacing w:after="96" w:afterAutospacing="0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highlight w:val="none"/>
                        </w:rPr>
                        <w:t xml:space="preserve">Об источниках получения средств, за счет которых совершена такая сделка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РАСХОДАМИ ВКЛЮЧАЕТ В СЕБЯ: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9152" behindDoc="0" locked="0" layoutInCell="1" allowOverlap="1">
                <wp:simplePos x="0" y="0"/>
                <wp:positionH relativeFrom="column">
                  <wp:posOffset>4254840</wp:posOffset>
                </wp:positionH>
                <wp:positionV relativeFrom="paragraph">
                  <wp:posOffset>65794</wp:posOffset>
                </wp:positionV>
                <wp:extent cx="2181225" cy="4352925"/>
                <wp:effectExtent l="6350" t="6350" r="6350" b="635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181224" cy="43529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      </w:r>
                            <w:r>
                              <w:rPr>
                                <w:color w:val="ffffff" w:themeColor="background1"/>
                              </w:rPr>
                            </w:r>
                            <w:r>
                              <w:rPr>
                                <w:color w:val="ffffff" w:themeColor="background1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2" type="#_x0000_t2" style="position:absolute;z-index:49152;o:allowoverlap:true;o:allowincell:true;mso-position-horizontal-relative:text;margin-left:335.0pt;mso-position-horizontal:absolute;mso-position-vertical-relative:text;margin-top:5.2pt;mso-position-vertical:absolute;width:171.8pt;height:342.8pt;mso-wrap-distance-left:9.1pt;mso-wrap-distance-top:0.0pt;mso-wrap-distance-right:9.1pt;mso-wrap-distance-bottom:0.0pt;v-text-anchor:middle;visibility:visible;" fillcolor="#0070C0" strokecolor="#00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Определение соответствия расходов лица, а также расходов супруги (супруга) и несовершеннолетних детей по каждой сделке их общему доходу</w:t>
                      </w:r>
                      <w:r>
                        <w:rPr>
                          <w:color w:val="ffffff" w:themeColor="background1"/>
                        </w:rPr>
                      </w:r>
                      <w:r>
                        <w:rPr>
                          <w:color w:val="ffffff" w:themeColor="background1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8912" behindDoc="0" locked="0" layoutInCell="1" allowOverlap="1">
                <wp:simplePos x="0" y="0"/>
                <wp:positionH relativeFrom="column">
                  <wp:posOffset>-388597</wp:posOffset>
                </wp:positionH>
                <wp:positionV relativeFrom="paragraph">
                  <wp:posOffset>111268</wp:posOffset>
                </wp:positionV>
                <wp:extent cx="6438900" cy="866775"/>
                <wp:effectExtent l="6350" t="6350" r="6350" b="635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6438899" cy="8667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ВАЖНО! Информация анонимного характера не может служить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основанием для принятия решения об осуществлении контроля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за расходами должностных лиц, их супруг (супругов) и несовер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шеннолетних детей.</w:t>
                            </w:r>
                            <w:r>
                              <w:rPr>
                                <w:color w:val="c00000"/>
                              </w:rPr>
                            </w:r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" type="#_x0000_t2" style="position:absolute;z-index:38912;o:allowoverlap:true;o:allowincell:true;mso-position-horizontal-relative:text;margin-left:-30.6pt;mso-position-horizontal:absolute;mso-position-vertical-relative:text;margin-top:8.8pt;mso-position-vertical:absolute;width:507.0pt;height:68.2pt;mso-wrap-distance-left:9.1pt;mso-wrap-distance-top:0.0pt;mso-wrap-distance-right:9.1pt;mso-wrap-distance-bottom:0.0pt;v-text-anchor:middle;visibility:visible;" fillcolor="#FFFFFF" strokecolor="#000000" strokeweight="1.00pt">
                <v:stroke dashstyle="solid"/>
                <v:textbox inset="0,0,0,0">
                  <w:txbxContent>
                    <w:p>
                      <w:pPr>
                        <w:jc w:val="both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ВАЖНО! Информация анонимного характера не может служить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основанием для принятия решения об осуществлении контроля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за расходами должностных лиц, их супруг (супругов) и несовер</w:t>
                      </w: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шеннолетних детей.</w:t>
                      </w:r>
                      <w:r>
                        <w:rPr>
                          <w:color w:val="c00000"/>
                        </w:rPr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РЕШЕНИЕ ОБ ОСУЩЕСТВЛЕНИИ КОНТРОЛЯ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РАСХОДАМИ ПРИНИМАЕТСЯ: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должностным лицом, определяемым Президентом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 руководителем федерального государственного органа либо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уполномоченным им должностным лицом;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высшим должностным лицом субъекта Российской Федерации;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 Председателем Банка России либо уполномоченным им долж</w:t>
      </w:r>
      <w:r>
        <w:rPr>
          <w:rFonts w:ascii="Times New Roman" w:hAnsi="Times New Roman" w:cs="Times New Roman"/>
          <w:sz w:val="28"/>
          <w:szCs w:val="28"/>
        </w:rPr>
        <w:t xml:space="preserve">ностным лицом;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• руководителем государственной корпорации, ПФР, ФСС,</w:t>
      </w:r>
      <w:r>
        <w:rPr>
          <w:rFonts w:ascii="Times New Roman" w:hAnsi="Times New Roman" w:cs="Times New Roman"/>
          <w:sz w:val="28"/>
          <w:szCs w:val="28"/>
        </w:rPr>
        <w:t xml:space="preserve"> ФОМС.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20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5296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499405</wp:posOffset>
                </wp:positionV>
                <wp:extent cx="4114800" cy="1476375"/>
                <wp:effectExtent l="6350" t="6350" r="6350" b="311147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4114800" cy="1476374"/>
                        </a:xfrm>
                        <a:prstGeom prst="wedgeRoundRectCallout">
                          <a:avLst>
                            <a:gd name="adj1" fmla="val 19053"/>
                            <a:gd name="adj2" fmla="val 706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Обращаться с ходата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контроля за его расходами. Ходатайство подлежит обязательному удовлетворению.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62" type="#_x0000_t62" style="position:absolute;z-index:55296;o:allowoverlap:true;o:allowincell:true;mso-position-horizontal-relative:text;margin-left:-61.7pt;mso-position-horizontal:absolute;mso-position-vertical-relative:text;margin-top:39.3pt;mso-position-vertical:absolute;width:324.0pt;height:116.2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Обращаться с ходата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йством в орган, подразделение или должностному лицу, ответственным за профилактику коррупционных правонарушений, о проведении с ним беседы по вопросам, связанным с осуществлением контроля за его расходами. Ходатайство подлежит обязательному удовлетворению.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3488" behindDoc="0" locked="0" layoutInCell="1" allowOverlap="1">
                <wp:simplePos x="0" y="0"/>
                <wp:positionH relativeFrom="column">
                  <wp:posOffset>3588090</wp:posOffset>
                </wp:positionH>
                <wp:positionV relativeFrom="paragraph">
                  <wp:posOffset>556555</wp:posOffset>
                </wp:positionV>
                <wp:extent cx="2667000" cy="1828800"/>
                <wp:effectExtent l="6350" t="6350" r="6350" b="330194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666999" cy="1828799"/>
                        </a:xfrm>
                        <a:prstGeom prst="wedgeEllipseCallout">
                          <a:avLst>
                            <a:gd name="adj1" fmla="val -47500"/>
                            <a:gd name="adj2" fmla="val 6770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</w:rPr>
                              <w:suppressLineNumbers w:val="0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</w:rPr>
                              <w:t xml:space="preserve">Давать пояснения в письменной форме в том числе об источниках получения средств, за счет которых совершена сделка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baseline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63" type="#_x0000_t63" style="position:absolute;z-index:63488;o:allowoverlap:true;o:allowincell:true;mso-position-horizontal-relative:text;margin-left:282.5pt;mso-position-horizontal:absolute;mso-position-vertical-relative:text;margin-top:43.8pt;mso-position-vertical:absolute;width:210.0pt;height:144.0pt;mso-wrap-distance-left:9.1pt;mso-wrap-distance-top:0.0pt;mso-wrap-distance-right:9.1pt;mso-wrap-distance-bottom:0.0pt;v-text-anchor:middle;visibility:visible;" fillcolor="#FFFFFF" strokecolor="#2D4D6A" strokeweight="1.00pt">
                <v:textbox inset="0,0,0,0">
                  <w:txbxContent>
                    <w:p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suppressLineNumbers w:val="0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  <w:t xml:space="preserve">Давать пояснения в письменной форме в том числе об источниках получения средств, за счет которых совершена сделка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baselin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Лицо, в связи с осуществлением контроля за его расходами, а так</w:t>
      </w:r>
      <w:r>
        <w:rPr>
          <w:rFonts w:ascii="Times New Roman" w:hAnsi="Times New Roman" w:cs="Times New Roman"/>
          <w:sz w:val="28"/>
          <w:szCs w:val="28"/>
        </w:rPr>
        <w:t xml:space="preserve">же за расходами его супруги (супруга) и несовершеннолетних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вправе: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highlight w:val="none"/>
        </w:rPr>
      </w:pPr>
      <w:r>
        <w:rPr>
          <w:highlight w:val="none"/>
        </w:rPr>
      </w:r>
      <w:r/>
    </w:p>
    <w:p>
      <w:r>
        <w:rPr>
          <w:highlight w:val="none"/>
        </w:rPr>
      </w:r>
      <w:r>
        <w:rPr>
          <w:highlight w:val="none"/>
        </w:rPr>
      </w:r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76" behindDoc="0" locked="0" layoutInCell="1" allowOverlap="1">
                <wp:simplePos x="0" y="0"/>
                <wp:positionH relativeFrom="column">
                  <wp:posOffset>1894070</wp:posOffset>
                </wp:positionH>
                <wp:positionV relativeFrom="paragraph">
                  <wp:posOffset>59577</wp:posOffset>
                </wp:positionV>
                <wp:extent cx="1611899" cy="1613690"/>
                <wp:effectExtent l="0" t="0" r="0" b="0"/>
                <wp:wrapNone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4539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1611899" cy="1613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50176;o:allowoverlap:true;o:allowincell:true;mso-position-horizontal-relative:text;margin-left:149.1pt;mso-position-horizontal:absolute;mso-position-vertical-relative:text;margin-top:4.7pt;mso-position-vertical:absolute;width:126.9pt;height:127.1pt;mso-wrap-distance-left:9.1pt;mso-wrap-distance-top:0.0pt;mso-wrap-distance-right:9.1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7584" behindDoc="0" locked="0" layoutInCell="1" allowOverlap="1">
                <wp:simplePos x="0" y="0"/>
                <wp:positionH relativeFrom="column">
                  <wp:posOffset>2883240</wp:posOffset>
                </wp:positionH>
                <wp:positionV relativeFrom="paragraph">
                  <wp:posOffset>23288</wp:posOffset>
                </wp:positionV>
                <wp:extent cx="3238500" cy="1638300"/>
                <wp:effectExtent l="197720" t="9573" r="7873" b="12339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3238499" cy="1638299"/>
                        </a:xfrm>
                        <a:prstGeom prst="cloudCallout">
                          <a:avLst>
                            <a:gd name="adj1" fmla="val -54504"/>
                            <a:gd name="adj2" fmla="val -4741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Представлять дополнительные материалы и давать по ним пояснения в письменной форме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06" type="#_x0000_t106" style="position:absolute;z-index:67584;o:allowoverlap:true;o:allowincell:true;mso-position-horizontal-relative:text;margin-left:227.0pt;mso-position-horizontal:absolute;mso-position-vertical-relative:text;margin-top:1.8pt;mso-position-vertical:absolute;width:255.0pt;height:129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Представлять дополнительные материалы и давать по ним пояснения в письменной форме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ЛИЦО, ПРИНЯВШЕЕ РЕШЕНИЕ ОБ ОСУЩЕСТВЛЕНИИ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КОНТРОЛЯ ЗА РАСХОДАМИ, ПО РЕЗУЛЬТАТАМ КОНТРОЛЯ: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• информирует в установленном порядке руководителя государ</w:t>
      </w:r>
      <w:r>
        <w:rPr>
          <w:rFonts w:ascii="Times New Roman" w:hAnsi="Times New Roman" w:cs="Times New Roman"/>
          <w:sz w:val="28"/>
          <w:szCs w:val="28"/>
        </w:rPr>
        <w:t xml:space="preserve">ственного органа о результатах осуществленного контроля;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вносит в случае необходимости предложения о применении к </w:t>
      </w:r>
      <w:r>
        <w:rPr>
          <w:rFonts w:ascii="Times New Roman" w:hAnsi="Times New Roman" w:cs="Times New Roman"/>
          <w:sz w:val="28"/>
          <w:szCs w:val="28"/>
        </w:rPr>
        <w:t xml:space="preserve">лицу мер юридической ответственности и (или) о направлении</w:t>
      </w:r>
      <w:r>
        <w:rPr>
          <w:rFonts w:ascii="Times New Roman" w:hAnsi="Times New Roman" w:cs="Times New Roman"/>
          <w:sz w:val="28"/>
          <w:szCs w:val="28"/>
        </w:rPr>
        <w:t xml:space="preserve"> материалов в органы прокуратуры и (или) иные государствен</w:t>
      </w:r>
      <w:r>
        <w:rPr>
          <w:rFonts w:ascii="Times New Roman" w:hAnsi="Times New Roman" w:cs="Times New Roman"/>
          <w:sz w:val="28"/>
          <w:szCs w:val="28"/>
        </w:rPr>
        <w:t xml:space="preserve">ные органы;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• вносит предложение комиссии по соблюдению требований к</w:t>
      </w:r>
      <w:r>
        <w:rPr>
          <w:rFonts w:ascii="Times New Roman" w:hAnsi="Times New Roman" w:cs="Times New Roman"/>
          <w:sz w:val="28"/>
          <w:szCs w:val="28"/>
        </w:rPr>
        <w:t xml:space="preserve"> служебному поведению и урегулированию конфликта интере</w:t>
      </w:r>
      <w:r>
        <w:rPr>
          <w:rFonts w:ascii="Times New Roman" w:hAnsi="Times New Roman" w:cs="Times New Roman"/>
          <w:sz w:val="28"/>
          <w:szCs w:val="28"/>
        </w:rPr>
        <w:t xml:space="preserve">сов рассмотреть результаты осуществленного контроля.</w:t>
      </w:r>
      <w:r>
        <w:rPr>
          <w:rFonts w:ascii="Times New Roman" w:hAnsi="Times New Roman" w:cs="Times New Roman"/>
          <w:sz w:val="28"/>
          <w:szCs w:val="28"/>
        </w:rPr>
      </w:r>
      <w:r/>
    </w:p>
    <w:p>
      <w:r/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2704" behindDoc="0" locked="0" layoutInCell="1" allowOverlap="1">
                <wp:simplePos x="0" y="0"/>
                <wp:positionH relativeFrom="column">
                  <wp:posOffset>-818493</wp:posOffset>
                </wp:positionH>
                <wp:positionV relativeFrom="paragraph">
                  <wp:posOffset>-216733</wp:posOffset>
                </wp:positionV>
                <wp:extent cx="6895213" cy="4338225"/>
                <wp:effectExtent l="0" t="0" r="0" b="0"/>
                <wp:wrapNone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65005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6895212" cy="43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72704;o:allowoverlap:true;o:allowincell:true;mso-position-horizontal-relative:text;margin-left:-64.4pt;mso-position-horizontal:absolute;mso-position-vertical-relative:text;margin-top:-17.1pt;mso-position-vertical:absolute;width:542.9pt;height:341.6pt;mso-wrap-distance-left:9.1pt;mso-wrap-distance-top:0.0pt;mso-wrap-distance-right:9.1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rPr>
          <w:highlight w:val="none"/>
        </w:rPr>
      </w:r>
      <w:r>
        <w:rPr>
          <w:highlight w:val="none"/>
        </w:rPr>
      </w:r>
      <w:r/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0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449722</wp:posOffset>
                </wp:positionV>
                <wp:extent cx="0" cy="933450"/>
                <wp:effectExtent l="9524" t="9524" r="9524" b="9524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0" cy="933449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7" o:spid="_x0000_s17" style="position:absolute;left:0;text-align:left;z-index:81920;mso-wrap-distance-left:9.1pt;mso-wrap-distance-top:0.0pt;mso-wrap-distance-right:9.1pt;mso-wrap-distance-bottom:0.0pt;visibility:visible;" from="211.3pt,35.4pt" to="211.3pt,108.9pt" filled="f" strokecolor="#FF0000" strokeweight="1.50pt">
                <v:stroke dashstyle="solid"/>
              </v:lin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7824" behindDoc="0" locked="0" layoutInCell="1" allowOverlap="1">
                <wp:simplePos x="0" y="0"/>
                <wp:positionH relativeFrom="column">
                  <wp:posOffset>1102065</wp:posOffset>
                </wp:positionH>
                <wp:positionV relativeFrom="paragraph">
                  <wp:posOffset>449722</wp:posOffset>
                </wp:positionV>
                <wp:extent cx="1428750" cy="900112"/>
                <wp:effectExtent l="9524" t="9524" r="9524" b="9524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1428750" cy="90011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8" o:spid="_x0000_s18" style="position:absolute;left:0;text-align:left;z-index:77824;mso-wrap-distance-left:9.1pt;mso-wrap-distance-top:0.0pt;mso-wrap-distance-right:9.1pt;mso-wrap-distance-bottom:0.0pt;flip:x;visibility:visible;" from="86.8pt,35.4pt" to="199.3pt,106.3pt" filled="f" strokecolor="#FF000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за непредставление сведений о расходах и </w:t>
      </w:r>
      <w:r>
        <w:rPr>
          <w:rFonts w:ascii="Times New Roman" w:hAnsi="Times New Roman" w:cs="Times New Roman"/>
          <w:sz w:val="28"/>
          <w:szCs w:val="28"/>
        </w:rPr>
        <w:t xml:space="preserve">об источниках получения средств, за счет которых совершена сделка: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7824" behindDoc="0" locked="0" layoutInCell="1" allowOverlap="1">
                <wp:simplePos x="0" y="0"/>
                <wp:positionH relativeFrom="column">
                  <wp:posOffset>3329827</wp:posOffset>
                </wp:positionH>
                <wp:positionV relativeFrom="paragraph">
                  <wp:posOffset>-517906</wp:posOffset>
                </wp:positionV>
                <wp:extent cx="988012" cy="1728787"/>
                <wp:effectExtent l="9524" t="9524" r="9524" b="9524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6199969" flipH="1" flipV="0">
                          <a:off x="0" y="0"/>
                          <a:ext cx="988012" cy="1728787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9" o:spid="_x0000_s19" style="position:absolute;left:0;text-align:left;z-index:77824;mso-wrap-distance-left:9.1pt;mso-wrap-distance-top:0.0pt;mso-wrap-distance-right:9.1pt;mso-wrap-distance-bottom:0.0pt;rotation:269;flip:x;visibility:visible;" from="262.2pt,-40.8pt" to="340.0pt,95.3pt" filled="f" strokecolor="#FF0000" strokeweight="1.50pt">
                <v:stroke dashstyle="solid"/>
              </v:lin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1321140</wp:posOffset>
                </wp:positionH>
                <wp:positionV relativeFrom="paragraph">
                  <wp:posOffset>217019</wp:posOffset>
                </wp:positionV>
                <wp:extent cx="2705100" cy="1152525"/>
                <wp:effectExtent l="6350" t="6350" r="6350" b="635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705099" cy="11525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Если в ходе процедуры контроля выявлено, что расходы лица не соответствуют полученным доходам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2" type="#_x0000_t2" style="position:absolute;z-index:82944;o:allowoverlap:true;o:allowincell:true;mso-position-horizontal-relative:text;margin-left:104.0pt;mso-position-horizontal:absolute;mso-position-vertical-relative:text;margin-top:17.1pt;mso-position-vertical:absolute;width:213.0pt;height:90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выявлено, что расходы лица не соответствуют полученным доходам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4216740</wp:posOffset>
                </wp:positionH>
                <wp:positionV relativeFrom="paragraph">
                  <wp:posOffset>274169</wp:posOffset>
                </wp:positionV>
                <wp:extent cx="2152650" cy="1345612"/>
                <wp:effectExtent l="6350" t="6350" r="6350" b="635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2152649" cy="13456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Если в ходе процедуры контроля выявлены признаки преступления, административного или иного правонарушения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2" type="#_x0000_t2" style="position:absolute;z-index:82944;o:allowoverlap:true;o:allowincell:true;mso-position-horizontal-relative:text;margin-left:332.0pt;mso-position-horizontal:absolute;mso-position-vertical-relative:text;margin-top:21.6pt;mso-position-vertical:absolute;width:169.5pt;height:106.0pt;mso-wrap-distance-left:9.1pt;mso-wrap-distance-top:0.0pt;mso-wrap-distance-right:9.1pt;mso-wrap-distance-bottom:0.0pt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Если в ходе процедуры контроля выявлены признаки преступления, административного или иного правонарушения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-783885</wp:posOffset>
                </wp:positionH>
                <wp:positionV relativeFrom="paragraph">
                  <wp:posOffset>143406</wp:posOffset>
                </wp:positionV>
                <wp:extent cx="1933575" cy="942975"/>
                <wp:effectExtent l="6350" t="6350" r="6350" b="6350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933574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Освобождение от должности, увольнение со службы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2" o:spid="_x0000_s22" o:spt="2" type="#_x0000_t2" style="position:absolute;z-index:82944;o:allowoverlap:true;o:allowincell:true;mso-position-horizontal-relative:text;margin-left:-61.7pt;mso-position-horizontal:absolute;mso-position-vertical-relative:text;margin-top:11.3pt;mso-position-vertical:absolute;width:152.2pt;height:74.2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Освобождение от должности, увольнение со службы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9808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189586</wp:posOffset>
                </wp:positionV>
                <wp:extent cx="1864065" cy="1491252"/>
                <wp:effectExtent l="0" t="0" r="0" b="0"/>
                <wp:wrapNone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26982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1864064" cy="1491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119808;o:allowoverlap:true;o:allowincell:true;mso-position-horizontal-relative:text;margin-left:-73.4pt;mso-position-horizontal:absolute;mso-position-vertical-relative:text;margin-top:14.9pt;mso-position-vertical:absolute;width:146.8pt;height:117.4pt;mso-wrap-distance-left:9.1pt;mso-wrap-distance-top:0.0pt;mso-wrap-distance-right:9.1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0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122593</wp:posOffset>
                </wp:positionV>
                <wp:extent cx="0" cy="828675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0" cy="828673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4" o:spid="_x0000_s24" style="position:absolute;left:0;text-align:left;z-index:81920;mso-wrap-distance-left:9.1pt;mso-wrap-distance-top:0.0pt;mso-wrap-distance-right:9.1pt;mso-wrap-distance-bottom:0.0pt;rotation:0;visibility:visible;" from="212.6pt,9.7pt" to="212.6pt,74.9pt" filled="f" strokecolor="#FF0000" strokeweight="1.50pt">
                <v:stroke dashstyle="solid"/>
              </v:line>
            </w:pict>
          </mc:Fallback>
        </mc:AlternateContent>
      </w:r>
      <w:r>
        <w:rPr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0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61093</wp:posOffset>
                </wp:positionV>
                <wp:extent cx="0" cy="690562"/>
                <wp:effectExtent l="9524" t="9524" r="9524" b="9524"/>
                <wp:wrapNone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0" cy="690562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5" o:spid="_x0000_s25" style="position:absolute;left:0;text-align:left;z-index:81920;mso-wrap-distance-left:9.1pt;mso-wrap-distance-top:0.0pt;mso-wrap-distance-right:9.1pt;mso-wrap-distance-bottom:0.0pt;rotation:0;visibility:visible;" from="417.5pt,4.8pt" to="417.5pt,59.2pt" filled="f" strokecolor="#FF0000" strokeweight="1.50pt">
                <v:stroke dashstyle="solid"/>
              </v:line>
            </w:pict>
          </mc:Fallback>
        </mc:AlternateContent>
      </w:r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1756909</wp:posOffset>
                </wp:positionH>
                <wp:positionV relativeFrom="paragraph">
                  <wp:posOffset>16056</wp:posOffset>
                </wp:positionV>
                <wp:extent cx="2066925" cy="821737"/>
                <wp:effectExtent l="6350" t="6350" r="6350" b="6350"/>
                <wp:wrapNone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066924" cy="821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Направление материалов проверки в 3-дневный срок в органы прокуратуры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2" type="#_x0000_t2" style="position:absolute;z-index:82944;o:allowoverlap:true;o:allowincell:true;mso-position-horizontal-relative:text;margin-left:138.3pt;mso-position-horizontal:absolute;mso-position-vertical-relative:text;margin-top:1.3pt;mso-position-vertical:absolute;width:162.8pt;height:64.7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проверки в 3-дневный срок в органы прокуратуры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4026240</wp:posOffset>
                </wp:positionH>
                <wp:positionV relativeFrom="paragraph">
                  <wp:posOffset>128181</wp:posOffset>
                </wp:positionV>
                <wp:extent cx="2238375" cy="1328737"/>
                <wp:effectExtent l="6350" t="6350" r="6350" b="6350"/>
                <wp:wrapNone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238374" cy="1328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Направление материалов в 3-дневный срок в государственные органы в соответствии с их компетенцией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7" o:spid="_x0000_s27" o:spt="2" type="#_x0000_t2" style="position:absolute;z-index:82944;o:allowoverlap:true;o:allowincell:true;mso-position-horizontal-relative:text;margin-left:317.0pt;mso-position-horizontal:absolute;mso-position-vertical-relative:text;margin-top:10.1pt;mso-position-vertical:absolute;width:176.2pt;height:104.6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Направление материалов в 3-дневный срок в государственные органы в соответствии с их компетенцией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3904" behindDoc="0" locked="0" layoutInCell="1" allowOverlap="1">
                <wp:simplePos x="0" y="0"/>
                <wp:positionH relativeFrom="column">
                  <wp:posOffset>-932032</wp:posOffset>
                </wp:positionH>
                <wp:positionV relativeFrom="paragraph">
                  <wp:posOffset>185325</wp:posOffset>
                </wp:positionV>
                <wp:extent cx="2269748" cy="1276733"/>
                <wp:effectExtent l="0" t="0" r="0" b="0"/>
                <wp:wrapNone/>
                <wp:docPr id="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25902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2269748" cy="1276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123904;o:allowoverlap:true;o:allowincell:true;mso-position-horizontal-relative:text;margin-left:-73.4pt;mso-position-horizontal:absolute;mso-position-vertical-relative:text;margin-top:14.6pt;mso-position-vertical:absolute;width:178.7pt;height:100.5pt;mso-wrap-distance-left:9.1pt;mso-wrap-distance-top:0.0pt;mso-wrap-distance-right:9.1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0" behindDoc="0" locked="0" layoutInCell="1" allowOverlap="1">
                <wp:simplePos x="0" y="0"/>
                <wp:positionH relativeFrom="column">
                  <wp:posOffset>2683215</wp:posOffset>
                </wp:positionH>
                <wp:positionV relativeFrom="paragraph">
                  <wp:posOffset>214318</wp:posOffset>
                </wp:positionV>
                <wp:extent cx="0" cy="828675"/>
                <wp:effectExtent l="0" t="0" r="0" b="0"/>
                <wp:wrapNone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9" o:spid="_x0000_s29" style="position:absolute;left:0;text-align:left;z-index:81920;mso-wrap-distance-left:9.1pt;mso-wrap-distance-top:0.0pt;mso-wrap-distance-right:9.1pt;mso-wrap-distance-bottom:0.0pt;rotation:0;visibility:visible;" from="211.3pt,16.9pt" to="211.3pt,82.1pt" filled="f" strokecolor="#FF0000" strokeweight="1.50pt">
                <v:stroke dashstyle="solid"/>
              </v:lin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0" behindDoc="0" locked="0" layoutInCell="1" allowOverlap="1">
                <wp:simplePos x="0" y="0"/>
                <wp:positionH relativeFrom="column">
                  <wp:posOffset>5302590</wp:posOffset>
                </wp:positionH>
                <wp:positionV relativeFrom="paragraph">
                  <wp:posOffset>209968</wp:posOffset>
                </wp:positionV>
                <wp:extent cx="0" cy="828675"/>
                <wp:effectExtent l="0" t="0" r="0" b="0"/>
                <wp:wrapNone/>
                <wp:docPr id="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 w="19049" cap="flat" cmpd="sng" algn="ctr">
                          <a:solidFill>
                            <a:srgbClr val="FF0000"/>
                          </a:solidFill>
                          <a:prstDash val="solid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0" o:spid="_x0000_s30" style="position:absolute;left:0;text-align:left;z-index:81920;mso-wrap-distance-left:9.1pt;mso-wrap-distance-top:0.0pt;mso-wrap-distance-right:9.1pt;mso-wrap-distance-bottom:0.0pt;rotation:0;visibility:visible;" from="417.5pt,16.5pt" to="417.5pt,81.8pt" filled="f" strokecolor="#FF0000" strokeweight="1.50pt">
                <v:stroke dashstyle="solid"/>
              </v:lin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1483065</wp:posOffset>
                </wp:positionH>
                <wp:positionV relativeFrom="paragraph">
                  <wp:posOffset>107780</wp:posOffset>
                </wp:positionV>
                <wp:extent cx="2381250" cy="2228850"/>
                <wp:effectExtent l="6350" t="6350" r="6350" b="6350"/>
                <wp:wrapNone/>
                <wp:docPr id="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381249" cy="22288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Органы прокуратуры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принимают решение о направлении в суд заявления об обращении в доход государства имущества, приобретенного на неподтвержденные доходы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31" o:spid="_x0000_s31" o:spt="2" type="#_x0000_t2" style="position:absolute;z-index:82944;o:allowoverlap:true;o:allowincell:true;mso-position-horizontal-relative:text;margin-left:116.8pt;mso-position-horizontal:absolute;mso-position-vertical-relative:text;margin-top:8.5pt;mso-position-vertical:absolute;width:187.5pt;height:175.5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Органы прокуратуры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принимают решение о направлении в суд заявления об обращении в доход государства имущества, приобретенного на неподтвержденные доходы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highlight w:val="none"/>
        </w:rPr>
      </w:r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6736" behindDoc="0" locked="0" layoutInCell="1" allowOverlap="1">
                <wp:simplePos x="0" y="0"/>
                <wp:positionH relativeFrom="column">
                  <wp:posOffset>-993012</wp:posOffset>
                </wp:positionH>
                <wp:positionV relativeFrom="paragraph">
                  <wp:posOffset>39213</wp:posOffset>
                </wp:positionV>
                <wp:extent cx="2391708" cy="1264366"/>
                <wp:effectExtent l="0" t="0" r="0" b="0"/>
                <wp:wrapNone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25778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2391708" cy="1264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116736;o:allowoverlap:true;o:allowincell:true;mso-position-horizontal-relative:text;margin-left:-78.2pt;mso-position-horizontal:absolute;mso-position-vertical-relative:text;margin-top:3.1pt;mso-position-vertical:absolute;width:188.3pt;height:99.6pt;mso-wrap-distance-left:9.1pt;mso-wrap-distance-top:0.0pt;mso-wrap-distance-right:9.1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<wp:simplePos x="0" y="0"/>
                <wp:positionH relativeFrom="column">
                  <wp:posOffset>4197690</wp:posOffset>
                </wp:positionH>
                <wp:positionV relativeFrom="paragraph">
                  <wp:posOffset>103430</wp:posOffset>
                </wp:positionV>
                <wp:extent cx="2066925" cy="1471087"/>
                <wp:effectExtent l="6350" t="6350" r="6350" b="6350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066924" cy="14710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Решение вопроса о привлечении лица к уголовной или административной ответственности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r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33" o:spid="_x0000_s33" o:spt="2" type="#_x0000_t2" style="position:absolute;z-index:82944;o:allowoverlap:true;o:allowincell:true;mso-position-horizontal-relative:text;margin-left:330.5pt;mso-position-horizontal:absolute;mso-position-vertical-relative:text;margin-top:8.1pt;mso-position-vertical:absolute;width:162.8pt;height:115.8pt;mso-wrap-distance-left:9.1pt;mso-wrap-distance-top:0.0pt;mso-wrap-distance-right:9.1pt;mso-wrap-distance-bottom:0.0pt;rotation:0;v-text-anchor:middle;visibility:visible;" filled="f" strokecolor="#2D4D6A" strokeweight="1.00pt">
                <v:textbox inset="0,0,0,0"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Решение вопроса о привлечении лица к уголовной или административной ответственности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6976" behindDoc="0" locked="0" layoutInCell="1" allowOverlap="1">
                <wp:simplePos x="0" y="0"/>
                <wp:positionH relativeFrom="column">
                  <wp:posOffset>-931957</wp:posOffset>
                </wp:positionH>
                <wp:positionV relativeFrom="paragraph">
                  <wp:posOffset>15829</wp:posOffset>
                </wp:positionV>
                <wp:extent cx="2369670" cy="1908615"/>
                <wp:effectExtent l="0" t="0" r="0" b="0"/>
                <wp:wrapNone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5944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2369670" cy="190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126976;o:allowoverlap:true;o:allowincell:true;mso-position-horizontal-relative:text;margin-left:-73.4pt;mso-position-horizontal:absolute;mso-position-vertical-relative:text;margin-top:1.2pt;mso-position-vertical:absolute;width:186.6pt;height:150.3pt;mso-wrap-distance-left:9.1pt;mso-wrap-distance-top:0.0pt;mso-wrap-distance-right:9.1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1072" behindDoc="0" locked="0" layoutInCell="1" allowOverlap="1">
                <wp:simplePos x="0" y="0"/>
                <wp:positionH relativeFrom="column">
                  <wp:posOffset>-871446</wp:posOffset>
                </wp:positionH>
                <wp:positionV relativeFrom="paragraph">
                  <wp:posOffset>286840</wp:posOffset>
                </wp:positionV>
                <wp:extent cx="1952442" cy="1366710"/>
                <wp:effectExtent l="0" t="0" r="0" b="0"/>
                <wp:wrapNone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95260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1952442" cy="1366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131072;o:allowoverlap:true;o:allowincell:true;mso-position-horizontal-relative:text;margin-left:-68.6pt;mso-position-horizontal:absolute;mso-position-vertical-relative:text;margin-top:22.6pt;mso-position-vertical:absolute;width:153.7pt;height:107.6pt;mso-wrap-distance-left:9.1pt;mso-wrap-distance-top:0.0pt;mso-wrap-distance-right:9.1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jc w:val="both"/>
        <w:tabs>
          <w:tab w:val="left" w:pos="1826" w:leader="none"/>
        </w:tabs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highlight w:val="none"/>
        </w:rPr>
      </w:r>
      <w:r>
        <w:rPr>
          <w:highlight w:val="none"/>
        </w:rPr>
        <w:tab/>
      </w:r>
      <w:r>
        <w:rPr>
          <w:rFonts w:ascii="Times New Roman" w:hAnsi="Times New Roman" w:cs="Times New Roman"/>
          <w:sz w:val="26"/>
          <w:szCs w:val="26"/>
          <w:highlight w:val="none"/>
        </w:rPr>
        <w:t xml:space="preserve">Законом Оренбургской области от 12.09.2013 № 1747/523-V-ОЗ «О </w:t>
        <w:tab/>
        <w:t xml:space="preserve">представлении сведений о расходах лицами, замещ</w:t>
      </w:r>
      <w:r>
        <w:rPr>
          <w:rFonts w:ascii="Times New Roman" w:hAnsi="Times New Roman" w:cs="Times New Roman"/>
          <w:sz w:val="26"/>
          <w:szCs w:val="26"/>
          <w:highlight w:val="none"/>
        </w:rPr>
        <w:t xml:space="preserve">ающими </w:t>
        <w:tab/>
        <w:t xml:space="preserve">государственные должности Оренбургской области, и иными </w:t>
        <w:tab/>
        <w:t xml:space="preserve">лицами и о контроле за расходами указанных лиц» закрепляет </w:t>
        <w:tab/>
        <w:t xml:space="preserve">полномочие осуществления контроля за расходами лиц за </w:t>
        <w:tab/>
        <w:t xml:space="preserve">комитетом по профилактике коррупционных правонарушений </w:t>
        <w:tab/>
        <w:t xml:space="preserve">Оренбургской области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2835" w:right="0" w:hanging="3"/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1792" behindDoc="0" locked="0" layoutInCell="1" allowOverlap="1">
                <wp:simplePos x="0" y="0"/>
                <wp:positionH relativeFrom="column">
                  <wp:posOffset>-938121</wp:posOffset>
                </wp:positionH>
                <wp:positionV relativeFrom="paragraph">
                  <wp:posOffset>35617</wp:posOffset>
                </wp:positionV>
                <wp:extent cx="2530947" cy="2530947"/>
                <wp:effectExtent l="0" t="0" r="0" b="0"/>
                <wp:wrapNone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7549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2530947" cy="25309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161792;o:allowoverlap:true;o:allowincell:true;mso-position-horizontal-relative:text;margin-left:-73.9pt;mso-position-horizontal:absolute;mso-position-vertical-relative:text;margin-top:2.8pt;mso-position-vertical:absolute;width:199.3pt;height:199.3pt;mso-wrap-distance-left:9.1pt;mso-wrap-distance-top:0.0pt;mso-wrap-distance-right:9.1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Генеральным прокурором издан приказ от 14.04.2015 № 179</w:t>
      </w:r>
      <w:r>
        <w:rPr>
          <w:rFonts w:ascii="Times New Roman" w:hAnsi="Times New Roman" w:cs="Times New Roman"/>
          <w:sz w:val="26"/>
          <w:szCs w:val="26"/>
        </w:rPr>
        <w:t xml:space="preserve"> «О реализации прокурорами полномочий, предусмотренных Фе</w:t>
      </w:r>
      <w:r>
        <w:rPr>
          <w:rFonts w:ascii="Times New Roman" w:hAnsi="Times New Roman" w:cs="Times New Roman"/>
          <w:sz w:val="26"/>
          <w:szCs w:val="26"/>
        </w:rPr>
        <w:t xml:space="preserve">деральным законом от 03.12.2012 № 230-ФЗ «О контроле за соот</w:t>
      </w:r>
      <w:r>
        <w:rPr>
          <w:rFonts w:ascii="Times New Roman" w:hAnsi="Times New Roman" w:cs="Times New Roman"/>
          <w:sz w:val="26"/>
          <w:szCs w:val="26"/>
        </w:rPr>
        <w:t xml:space="preserve">ветствием расходов лиц, замещающих государственные должно</w:t>
      </w:r>
      <w:r>
        <w:rPr>
          <w:rFonts w:ascii="Times New Roman" w:hAnsi="Times New Roman" w:cs="Times New Roman"/>
          <w:sz w:val="26"/>
          <w:szCs w:val="26"/>
        </w:rPr>
        <w:t xml:space="preserve">сти, и иных лиц их доходам», и об организации прокурорского</w:t>
      </w:r>
      <w:r>
        <w:rPr>
          <w:rFonts w:ascii="Times New Roman" w:hAnsi="Times New Roman" w:cs="Times New Roman"/>
          <w:sz w:val="26"/>
          <w:szCs w:val="26"/>
        </w:rPr>
        <w:t xml:space="preserve"> надзора за исполнением данного Федерального закона».</w:t>
      </w:r>
      <w:r>
        <w:rPr>
          <w:highlight w:val="none"/>
        </w:rPr>
      </w:r>
      <w:r/>
    </w:p>
    <w:p>
      <w:pPr>
        <w:ind w:left="2835" w:right="0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со ст. 17 Федерального закона от 03.12.2012 </w:t>
      </w:r>
      <w:r>
        <w:rPr>
          <w:rFonts w:ascii="Times New Roman" w:hAnsi="Times New Roman" w:cs="Times New Roman"/>
          <w:sz w:val="26"/>
          <w:szCs w:val="26"/>
        </w:rPr>
        <w:t xml:space="preserve">№ 230-ФЗ «О контроле за соответствием расходов лиц, замещаю</w:t>
      </w:r>
      <w:r>
        <w:rPr>
          <w:rFonts w:ascii="Times New Roman" w:hAnsi="Times New Roman" w:cs="Times New Roman"/>
          <w:sz w:val="26"/>
          <w:szCs w:val="26"/>
        </w:rPr>
        <w:t xml:space="preserve">щих государственные должности, и иных лиц их доходам» Гене</w:t>
      </w:r>
      <w:r>
        <w:rPr>
          <w:rFonts w:ascii="Times New Roman" w:hAnsi="Times New Roman" w:cs="Times New Roman"/>
          <w:sz w:val="26"/>
          <w:szCs w:val="26"/>
        </w:rPr>
        <w:t xml:space="preserve">ральный прокурор Российской Федерации или подчиненные</w:t>
      </w:r>
      <w:r>
        <w:rPr>
          <w:rFonts w:ascii="Times New Roman" w:hAnsi="Times New Roman" w:cs="Times New Roman"/>
          <w:sz w:val="26"/>
          <w:szCs w:val="26"/>
        </w:rPr>
        <w:t xml:space="preserve"> ему прокуроры при получении материалов по результатам осу</w:t>
      </w:r>
      <w:r>
        <w:rPr>
          <w:rFonts w:ascii="Times New Roman" w:hAnsi="Times New Roman" w:cs="Times New Roman"/>
          <w:sz w:val="26"/>
          <w:szCs w:val="26"/>
        </w:rPr>
        <w:t xml:space="preserve">ществления контроля за расходами (свидетельствующих о несо</w:t>
      </w:r>
      <w:r>
        <w:rPr>
          <w:rFonts w:ascii="Times New Roman" w:hAnsi="Times New Roman" w:cs="Times New Roman"/>
          <w:sz w:val="26"/>
          <w:szCs w:val="26"/>
        </w:rPr>
        <w:t xml:space="preserve">ответствии расходов должностного лица, его супруги/супруга,</w:t>
      </w:r>
      <w:r>
        <w:rPr>
          <w:rFonts w:ascii="Times New Roman" w:hAnsi="Times New Roman" w:cs="Times New Roman"/>
          <w:sz w:val="26"/>
          <w:szCs w:val="26"/>
        </w:rPr>
        <w:t xml:space="preserve"> несовершеннолетних детей их общему доходу) обращаются в суд</w:t>
      </w:r>
      <w:r>
        <w:rPr>
          <w:rFonts w:ascii="Times New Roman" w:hAnsi="Times New Roman" w:cs="Times New Roman"/>
          <w:sz w:val="26"/>
          <w:szCs w:val="26"/>
        </w:rPr>
        <w:t xml:space="preserve"> с заявлением об обращении в доход Российской Федерации иму</w:t>
      </w:r>
      <w:r>
        <w:rPr>
          <w:rFonts w:ascii="Times New Roman" w:hAnsi="Times New Roman" w:cs="Times New Roman"/>
          <w:sz w:val="26"/>
          <w:szCs w:val="26"/>
        </w:rPr>
        <w:t xml:space="preserve">щества, в отношении которого не представлено сведений, под</w:t>
      </w:r>
      <w:r>
        <w:rPr>
          <w:rFonts w:ascii="Times New Roman" w:hAnsi="Times New Roman" w:cs="Times New Roman"/>
          <w:sz w:val="26"/>
          <w:szCs w:val="26"/>
        </w:rPr>
        <w:t xml:space="preserve">тверждающих его приобретение на законные доходы.</w:t>
      </w:r>
      <w:r>
        <w:rPr>
          <w:rFonts w:ascii="Times New Roman" w:hAnsi="Times New Roman" w:cs="Times New Roman"/>
          <w:sz w:val="26"/>
          <w:szCs w:val="26"/>
        </w:rPr>
      </w:r>
      <w:r/>
    </w:p>
    <w:p>
      <w:pPr>
        <w:ind w:left="2835" w:right="0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  <w:t xml:space="preserve">Органами прокуратуры Российской Федерации приняты меры по  </w:t>
      </w:r>
      <w:r>
        <w:rPr>
          <w:rFonts w:ascii="Times New Roman" w:hAnsi="Times New Roman" w:cs="Times New Roman"/>
          <w:sz w:val="26"/>
          <w:szCs w:val="26"/>
        </w:rPr>
        <w:t xml:space="preserve">повышению эффективности работы и реализации прокурорских пол</w:t>
      </w:r>
      <w:r>
        <w:rPr>
          <w:rFonts w:ascii="Times New Roman" w:hAnsi="Times New Roman" w:cs="Times New Roman"/>
          <w:sz w:val="26"/>
          <w:szCs w:val="26"/>
        </w:rPr>
        <w:t xml:space="preserve">номочий по контролю за расходами чиновников и обращению в доход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Российской Федерации имущества, в отношении которого не представ</w:t>
      </w:r>
      <w:r>
        <w:rPr>
          <w:rFonts w:ascii="Times New Roman" w:hAnsi="Times New Roman" w:cs="Times New Roman"/>
          <w:sz w:val="26"/>
          <w:szCs w:val="26"/>
        </w:rPr>
        <w:t xml:space="preserve">лены доказательства его приобретения на законные доходы.</w:t>
      </w:r>
      <w:r>
        <w:rPr>
          <w:rFonts w:ascii="Times New Roman" w:hAnsi="Times New Roman" w:cs="Times New Roman"/>
          <w:sz w:val="26"/>
          <w:szCs w:val="26"/>
        </w:rPr>
      </w:r>
      <w:r/>
    </w:p>
    <w:sectPr>
      <w:footnotePr/>
      <w:endnotePr/>
      <w:type w:val="continuous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 Medium">
    <w:panose1 w:val="02000000000000000000"/>
  </w:font>
  <w:font w:name="Times New Roman">
    <w:panose1 w:val="02020603050405020304"/>
  </w:font>
  <w:font w:name="PT Astra Sans">
    <w:panose1 w:val="020B0603020203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3"/>
      <w:jc w:val="center"/>
      <w:rPr>
        <w:rFonts w:ascii="PT Astra Sans" w:hAnsi="PT Astra Sans" w:cs="PT Astra Sans"/>
        <w:color w:val="ed7d31" w:themeColor="accent2"/>
        <w:sz w:val="24"/>
        <w:szCs w:val="24"/>
      </w:rPr>
    </w:pPr>
    <w:r>
      <w:rPr>
        <w:rFonts w:ascii="PT Astra Sans" w:hAnsi="PT Astra Sans" w:cs="PT Astra Sans"/>
        <w:color w:val="ed7d31" w:themeColor="accent2"/>
        <w:sz w:val="24"/>
        <w:szCs w:val="24"/>
      </w:rPr>
      <w:t xml:space="preserve">Комитет по профилактике коррупционных правонарушений Оренбургской области</w:t>
    </w:r>
    <w:r>
      <w:rPr>
        <w:rFonts w:ascii="PT Astra Sans" w:hAnsi="PT Astra Sans" w:cs="PT Astra Sans"/>
        <w:color w:val="ed7d31" w:themeColor="accent2"/>
        <w:sz w:val="24"/>
        <w:szCs w:val="24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§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7">
    <w:name w:val="Heading 1"/>
    <w:basedOn w:val="843"/>
    <w:next w:val="843"/>
    <w:link w:val="66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8">
    <w:name w:val="Heading 1 Char"/>
    <w:link w:val="667"/>
    <w:uiPriority w:val="9"/>
    <w:rPr>
      <w:rFonts w:ascii="Arial" w:hAnsi="Arial" w:eastAsia="Arial" w:cs="Arial"/>
      <w:sz w:val="40"/>
      <w:szCs w:val="40"/>
    </w:rPr>
  </w:style>
  <w:style w:type="paragraph" w:styleId="669">
    <w:name w:val="Heading 2"/>
    <w:basedOn w:val="843"/>
    <w:next w:val="843"/>
    <w:link w:val="67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0">
    <w:name w:val="Heading 2 Char"/>
    <w:link w:val="669"/>
    <w:uiPriority w:val="9"/>
    <w:rPr>
      <w:rFonts w:ascii="Arial" w:hAnsi="Arial" w:eastAsia="Arial" w:cs="Arial"/>
      <w:sz w:val="34"/>
    </w:rPr>
  </w:style>
  <w:style w:type="paragraph" w:styleId="671">
    <w:name w:val="Heading 3"/>
    <w:basedOn w:val="843"/>
    <w:next w:val="843"/>
    <w:link w:val="67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2">
    <w:name w:val="Heading 3 Char"/>
    <w:link w:val="671"/>
    <w:uiPriority w:val="9"/>
    <w:rPr>
      <w:rFonts w:ascii="Arial" w:hAnsi="Arial" w:eastAsia="Arial" w:cs="Arial"/>
      <w:sz w:val="30"/>
      <w:szCs w:val="30"/>
    </w:rPr>
  </w:style>
  <w:style w:type="paragraph" w:styleId="673">
    <w:name w:val="Heading 4"/>
    <w:basedOn w:val="843"/>
    <w:next w:val="843"/>
    <w:link w:val="67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4">
    <w:name w:val="Heading 4 Char"/>
    <w:link w:val="673"/>
    <w:uiPriority w:val="9"/>
    <w:rPr>
      <w:rFonts w:ascii="Arial" w:hAnsi="Arial" w:eastAsia="Arial" w:cs="Arial"/>
      <w:b/>
      <w:bCs/>
      <w:sz w:val="26"/>
      <w:szCs w:val="26"/>
    </w:rPr>
  </w:style>
  <w:style w:type="paragraph" w:styleId="675">
    <w:name w:val="Heading 5"/>
    <w:basedOn w:val="843"/>
    <w:next w:val="843"/>
    <w:link w:val="67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6">
    <w:name w:val="Heading 5 Char"/>
    <w:link w:val="675"/>
    <w:uiPriority w:val="9"/>
    <w:rPr>
      <w:rFonts w:ascii="Arial" w:hAnsi="Arial" w:eastAsia="Arial" w:cs="Arial"/>
      <w:b/>
      <w:bCs/>
      <w:sz w:val="24"/>
      <w:szCs w:val="24"/>
    </w:rPr>
  </w:style>
  <w:style w:type="paragraph" w:styleId="677">
    <w:name w:val="Heading 6"/>
    <w:basedOn w:val="843"/>
    <w:next w:val="843"/>
    <w:link w:val="67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8">
    <w:name w:val="Heading 6 Char"/>
    <w:link w:val="677"/>
    <w:uiPriority w:val="9"/>
    <w:rPr>
      <w:rFonts w:ascii="Arial" w:hAnsi="Arial" w:eastAsia="Arial" w:cs="Arial"/>
      <w:b/>
      <w:bCs/>
      <w:sz w:val="22"/>
      <w:szCs w:val="22"/>
    </w:rPr>
  </w:style>
  <w:style w:type="paragraph" w:styleId="679">
    <w:name w:val="Heading 7"/>
    <w:basedOn w:val="843"/>
    <w:next w:val="843"/>
    <w:link w:val="68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0">
    <w:name w:val="Heading 7 Char"/>
    <w:link w:val="67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1">
    <w:name w:val="Heading 8"/>
    <w:basedOn w:val="843"/>
    <w:next w:val="843"/>
    <w:link w:val="68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2">
    <w:name w:val="Heading 8 Char"/>
    <w:link w:val="681"/>
    <w:uiPriority w:val="9"/>
    <w:rPr>
      <w:rFonts w:ascii="Arial" w:hAnsi="Arial" w:eastAsia="Arial" w:cs="Arial"/>
      <w:i/>
      <w:iCs/>
      <w:sz w:val="22"/>
      <w:szCs w:val="22"/>
    </w:rPr>
  </w:style>
  <w:style w:type="paragraph" w:styleId="683">
    <w:name w:val="Heading 9"/>
    <w:basedOn w:val="843"/>
    <w:next w:val="843"/>
    <w:link w:val="68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4">
    <w:name w:val="Heading 9 Char"/>
    <w:link w:val="683"/>
    <w:uiPriority w:val="9"/>
    <w:rPr>
      <w:rFonts w:ascii="Arial" w:hAnsi="Arial" w:eastAsia="Arial" w:cs="Arial"/>
      <w:i/>
      <w:iCs/>
      <w:sz w:val="21"/>
      <w:szCs w:val="21"/>
    </w:rPr>
  </w:style>
  <w:style w:type="paragraph" w:styleId="685">
    <w:name w:val="Title"/>
    <w:basedOn w:val="843"/>
    <w:next w:val="843"/>
    <w:link w:val="68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6">
    <w:name w:val="Title Char"/>
    <w:link w:val="685"/>
    <w:uiPriority w:val="10"/>
    <w:rPr>
      <w:sz w:val="48"/>
      <w:szCs w:val="48"/>
    </w:rPr>
  </w:style>
  <w:style w:type="paragraph" w:styleId="687">
    <w:name w:val="Subtitle"/>
    <w:basedOn w:val="843"/>
    <w:next w:val="843"/>
    <w:link w:val="688"/>
    <w:uiPriority w:val="11"/>
    <w:qFormat/>
    <w:pPr>
      <w:spacing w:before="200" w:after="200"/>
    </w:pPr>
    <w:rPr>
      <w:sz w:val="24"/>
      <w:szCs w:val="24"/>
    </w:rPr>
  </w:style>
  <w:style w:type="character" w:styleId="688">
    <w:name w:val="Subtitle Char"/>
    <w:link w:val="687"/>
    <w:uiPriority w:val="11"/>
    <w:rPr>
      <w:sz w:val="24"/>
      <w:szCs w:val="24"/>
    </w:rPr>
  </w:style>
  <w:style w:type="paragraph" w:styleId="689">
    <w:name w:val="Quote"/>
    <w:basedOn w:val="843"/>
    <w:next w:val="843"/>
    <w:link w:val="690"/>
    <w:uiPriority w:val="29"/>
    <w:qFormat/>
    <w:pPr>
      <w:ind w:left="720" w:right="720"/>
    </w:pPr>
    <w:rPr>
      <w:i/>
    </w:rPr>
  </w:style>
  <w:style w:type="character" w:styleId="690">
    <w:name w:val="Quote Char"/>
    <w:link w:val="689"/>
    <w:uiPriority w:val="29"/>
    <w:rPr>
      <w:i/>
    </w:rPr>
  </w:style>
  <w:style w:type="paragraph" w:styleId="691">
    <w:name w:val="Intense Quote"/>
    <w:basedOn w:val="843"/>
    <w:next w:val="843"/>
    <w:link w:val="69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2">
    <w:name w:val="Intense Quote Char"/>
    <w:link w:val="691"/>
    <w:uiPriority w:val="30"/>
    <w:rPr>
      <w:i/>
    </w:rPr>
  </w:style>
  <w:style w:type="paragraph" w:styleId="693">
    <w:name w:val="Header"/>
    <w:basedOn w:val="843"/>
    <w:link w:val="69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4">
    <w:name w:val="Header Char"/>
    <w:link w:val="693"/>
    <w:uiPriority w:val="99"/>
  </w:style>
  <w:style w:type="paragraph" w:styleId="695">
    <w:name w:val="Footer"/>
    <w:basedOn w:val="843"/>
    <w:link w:val="69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6">
    <w:name w:val="Footer Char"/>
    <w:link w:val="695"/>
    <w:uiPriority w:val="99"/>
  </w:style>
  <w:style w:type="paragraph" w:styleId="697">
    <w:name w:val="Caption"/>
    <w:basedOn w:val="843"/>
    <w:next w:val="84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8">
    <w:name w:val="Caption Char"/>
    <w:basedOn w:val="697"/>
    <w:link w:val="695"/>
    <w:uiPriority w:val="99"/>
  </w:style>
  <w:style w:type="table" w:styleId="699">
    <w:name w:val="Table Grid"/>
    <w:basedOn w:val="84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Light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1">
    <w:name w:val="Plain Table 1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2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4">
    <w:name w:val="Plain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Plain Table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6">
    <w:name w:val="Grid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8">
    <w:name w:val="Grid Table 4 - Accent 1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9">
    <w:name w:val="Grid Table 4 - Accent 2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0">
    <w:name w:val="Grid Table 4 - Accent 3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1">
    <w:name w:val="Grid Table 4 - Accent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2">
    <w:name w:val="Grid Table 4 - Accent 5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3">
    <w:name w:val="Grid Table 4 - Accent 6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4">
    <w:name w:val="Grid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8">
    <w:name w:val="Grid Table 5 Dark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1">
    <w:name w:val="Grid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2">
    <w:name w:val="Grid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3">
    <w:name w:val="Grid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4">
    <w:name w:val="Grid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5">
    <w:name w:val="Grid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6">
    <w:name w:val="Grid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8">
    <w:name w:val="Grid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3">
    <w:name w:val="List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4">
    <w:name w:val="List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5">
    <w:name w:val="List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6">
    <w:name w:val="List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7">
    <w:name w:val="List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8">
    <w:name w:val="List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9">
    <w:name w:val="List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1">
    <w:name w:val="List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2">
    <w:name w:val="List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3">
    <w:name w:val="List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4">
    <w:name w:val="List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5">
    <w:name w:val="List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6">
    <w:name w:val="List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7">
    <w:name w:val="List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8">
    <w:name w:val="List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9">
    <w:name w:val="List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0">
    <w:name w:val="List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1">
    <w:name w:val="List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2">
    <w:name w:val="List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3">
    <w:name w:val="List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4">
    <w:name w:val="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6">
    <w:name w:val="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7">
    <w:name w:val="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8">
    <w:name w:val="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9">
    <w:name w:val="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0">
    <w:name w:val="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1">
    <w:name w:val="Bordered &amp; 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2">
    <w:name w:val="Bordered &amp; 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3">
    <w:name w:val="Bordered &amp; 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4">
    <w:name w:val="Bordered &amp; 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5">
    <w:name w:val="Bordered &amp; 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6">
    <w:name w:val="Bordered &amp; 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7">
    <w:name w:val="Bordered &amp; 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8">
    <w:name w:val="Bordered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9">
    <w:name w:val="Bordered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0">
    <w:name w:val="Bordered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1">
    <w:name w:val="Bordered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2">
    <w:name w:val="Bordered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3">
    <w:name w:val="Bordered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4">
    <w:name w:val="Bordered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5">
    <w:name w:val="Hyperlink"/>
    <w:uiPriority w:val="99"/>
    <w:unhideWhenUsed/>
    <w:rPr>
      <w:color w:val="0000ff" w:themeColor="hyperlink"/>
      <w:u w:val="single"/>
    </w:rPr>
  </w:style>
  <w:style w:type="paragraph" w:styleId="826">
    <w:name w:val="footnote text"/>
    <w:basedOn w:val="843"/>
    <w:link w:val="827"/>
    <w:uiPriority w:val="99"/>
    <w:semiHidden/>
    <w:unhideWhenUsed/>
    <w:pPr>
      <w:spacing w:after="40" w:line="240" w:lineRule="auto"/>
    </w:pPr>
    <w:rPr>
      <w:sz w:val="18"/>
    </w:rPr>
  </w:style>
  <w:style w:type="character" w:styleId="827">
    <w:name w:val="Footnote Text Char"/>
    <w:link w:val="826"/>
    <w:uiPriority w:val="99"/>
    <w:rPr>
      <w:sz w:val="18"/>
    </w:rPr>
  </w:style>
  <w:style w:type="character" w:styleId="828">
    <w:name w:val="footnote reference"/>
    <w:uiPriority w:val="99"/>
    <w:unhideWhenUsed/>
    <w:rPr>
      <w:vertAlign w:val="superscript"/>
    </w:rPr>
  </w:style>
  <w:style w:type="paragraph" w:styleId="829">
    <w:name w:val="endnote text"/>
    <w:basedOn w:val="843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>
    <w:name w:val="Endnote Text Char"/>
    <w:link w:val="829"/>
    <w:uiPriority w:val="99"/>
    <w:rPr>
      <w:sz w:val="20"/>
    </w:rPr>
  </w:style>
  <w:style w:type="character" w:styleId="831">
    <w:name w:val="endnote reference"/>
    <w:uiPriority w:val="99"/>
    <w:semiHidden/>
    <w:unhideWhenUsed/>
    <w:rPr>
      <w:vertAlign w:val="superscript"/>
    </w:rPr>
  </w:style>
  <w:style w:type="paragraph" w:styleId="832">
    <w:name w:val="toc 1"/>
    <w:basedOn w:val="843"/>
    <w:next w:val="843"/>
    <w:uiPriority w:val="39"/>
    <w:unhideWhenUsed/>
    <w:pPr>
      <w:ind w:left="0" w:right="0" w:firstLine="0"/>
      <w:spacing w:after="57"/>
    </w:pPr>
  </w:style>
  <w:style w:type="paragraph" w:styleId="833">
    <w:name w:val="toc 2"/>
    <w:basedOn w:val="843"/>
    <w:next w:val="843"/>
    <w:uiPriority w:val="39"/>
    <w:unhideWhenUsed/>
    <w:pPr>
      <w:ind w:left="283" w:right="0" w:firstLine="0"/>
      <w:spacing w:after="57"/>
    </w:pPr>
  </w:style>
  <w:style w:type="paragraph" w:styleId="834">
    <w:name w:val="toc 3"/>
    <w:basedOn w:val="843"/>
    <w:next w:val="843"/>
    <w:uiPriority w:val="39"/>
    <w:unhideWhenUsed/>
    <w:pPr>
      <w:ind w:left="567" w:right="0" w:firstLine="0"/>
      <w:spacing w:after="57"/>
    </w:pPr>
  </w:style>
  <w:style w:type="paragraph" w:styleId="835">
    <w:name w:val="toc 4"/>
    <w:basedOn w:val="843"/>
    <w:next w:val="843"/>
    <w:uiPriority w:val="39"/>
    <w:unhideWhenUsed/>
    <w:pPr>
      <w:ind w:left="850" w:right="0" w:firstLine="0"/>
      <w:spacing w:after="57"/>
    </w:pPr>
  </w:style>
  <w:style w:type="paragraph" w:styleId="836">
    <w:name w:val="toc 5"/>
    <w:basedOn w:val="843"/>
    <w:next w:val="843"/>
    <w:uiPriority w:val="39"/>
    <w:unhideWhenUsed/>
    <w:pPr>
      <w:ind w:left="1134" w:right="0" w:firstLine="0"/>
      <w:spacing w:after="57"/>
    </w:pPr>
  </w:style>
  <w:style w:type="paragraph" w:styleId="837">
    <w:name w:val="toc 6"/>
    <w:basedOn w:val="843"/>
    <w:next w:val="843"/>
    <w:uiPriority w:val="39"/>
    <w:unhideWhenUsed/>
    <w:pPr>
      <w:ind w:left="1417" w:right="0" w:firstLine="0"/>
      <w:spacing w:after="57"/>
    </w:pPr>
  </w:style>
  <w:style w:type="paragraph" w:styleId="838">
    <w:name w:val="toc 7"/>
    <w:basedOn w:val="843"/>
    <w:next w:val="843"/>
    <w:uiPriority w:val="39"/>
    <w:unhideWhenUsed/>
    <w:pPr>
      <w:ind w:left="1701" w:right="0" w:firstLine="0"/>
      <w:spacing w:after="57"/>
    </w:pPr>
  </w:style>
  <w:style w:type="paragraph" w:styleId="839">
    <w:name w:val="toc 8"/>
    <w:basedOn w:val="843"/>
    <w:next w:val="843"/>
    <w:uiPriority w:val="39"/>
    <w:unhideWhenUsed/>
    <w:pPr>
      <w:ind w:left="1984" w:right="0" w:firstLine="0"/>
      <w:spacing w:after="57"/>
    </w:pPr>
  </w:style>
  <w:style w:type="paragraph" w:styleId="840">
    <w:name w:val="toc 9"/>
    <w:basedOn w:val="843"/>
    <w:next w:val="843"/>
    <w:uiPriority w:val="39"/>
    <w:unhideWhenUsed/>
    <w:pPr>
      <w:ind w:left="2268" w:right="0" w:firstLine="0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843"/>
    <w:next w:val="843"/>
    <w:uiPriority w:val="99"/>
    <w:unhideWhenUsed/>
    <w:pPr>
      <w:spacing w:after="0" w:afterAutospacing="0"/>
    </w:pPr>
  </w:style>
  <w:style w:type="paragraph" w:styleId="843" w:default="1">
    <w:name w:val="Normal"/>
    <w:qFormat/>
  </w:style>
  <w:style w:type="table" w:styleId="84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5" w:default="1">
    <w:name w:val="No List"/>
    <w:uiPriority w:val="99"/>
    <w:semiHidden/>
    <w:unhideWhenUsed/>
  </w:style>
  <w:style w:type="paragraph" w:styleId="846">
    <w:name w:val="No Spacing"/>
    <w:basedOn w:val="843"/>
    <w:uiPriority w:val="1"/>
    <w:qFormat/>
    <w:pPr>
      <w:spacing w:after="0" w:line="240" w:lineRule="auto"/>
    </w:pPr>
  </w:style>
  <w:style w:type="paragraph" w:styleId="847">
    <w:name w:val="List Paragraph"/>
    <w:basedOn w:val="843"/>
    <w:uiPriority w:val="34"/>
    <w:qFormat/>
    <w:pPr>
      <w:contextualSpacing/>
      <w:ind w:left="720"/>
    </w:pPr>
  </w:style>
  <w:style w:type="character" w:styleId="84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png"/><Relationship Id="rId23" Type="http://schemas.openxmlformats.org/officeDocument/2006/relationships/image" Target="media/image14.jpg"/><Relationship Id="rId24" Type="http://schemas.openxmlformats.org/officeDocument/2006/relationships/image" Target="media/image1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2024-05-22T04:12:47Z</dcterms:modified>
</cp:coreProperties>
</file>