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897E0E" w:rsidRPr="00897E0E">
        <w:rPr>
          <w:rStyle w:val="CharacterStyle9"/>
          <w:rFonts w:eastAsia="Calibri"/>
          <w:sz w:val="28"/>
          <w:szCs w:val="28"/>
        </w:rPr>
        <w:t>56:44:0111002:101, 56:44:0111002:24, 56:44:0000000:35352, 56:44:0111002:86,</w:t>
      </w:r>
      <w:r w:rsidR="00897E0E">
        <w:rPr>
          <w:rStyle w:val="CharacterStyle9"/>
          <w:rFonts w:eastAsia="Calibri"/>
          <w:sz w:val="28"/>
          <w:szCs w:val="28"/>
        </w:rPr>
        <w:t xml:space="preserve"> </w:t>
      </w:r>
      <w:r w:rsidR="00897E0E" w:rsidRPr="00897E0E">
        <w:rPr>
          <w:rStyle w:val="CharacterStyle9"/>
          <w:rFonts w:eastAsia="Calibri"/>
          <w:sz w:val="28"/>
          <w:szCs w:val="28"/>
        </w:rPr>
        <w:t>56:44:0111002:90, 56:44:0000000:245, 56:44:0111001:84, 56:44:0000000:212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897E0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 xml:space="preserve">адастровые номера кадастровых кварталов, в отношении которых испрашивается публичный сервитут </w:t>
      </w:r>
      <w:r w:rsidR="00897E0E" w:rsidRPr="00897E0E">
        <w:rPr>
          <w:rStyle w:val="CharacterStyle9"/>
          <w:rFonts w:eastAsia="Calibri"/>
          <w:sz w:val="28"/>
          <w:szCs w:val="28"/>
        </w:rPr>
        <w:t>56:44:0111001, 56:44:0111002, 56:44:0111003, 56:44:0115001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Брестская</w:t>
      </w:r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8198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 Теплотрасса от ТК 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.9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E276F9">
        <w:rPr>
          <w:rFonts w:ascii="Times New Roman" w:hAnsi="Times New Roman" w:cs="Times New Roman"/>
          <w:sz w:val="28"/>
          <w:szCs w:val="28"/>
          <w:shd w:val="clear" w:color="auto" w:fill="FFFFFF"/>
        </w:rPr>
        <w:t>ТК 3.1</w:t>
      </w:r>
      <w:r w:rsidR="00897E0E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BA180E" w:rsidRPr="00B664E4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000B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97E0E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05144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276F9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D1C3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2023-01-09T11:09:00Z</cp:lastPrinted>
  <dcterms:created xsi:type="dcterms:W3CDTF">2023-01-10T05:51:00Z</dcterms:created>
  <dcterms:modified xsi:type="dcterms:W3CDTF">2023-01-10T05:57:00Z</dcterms:modified>
</cp:coreProperties>
</file>