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ЦЕНТРАЛЬНЫЙ БАНК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ИНФОРМАЦИОННОЕ ПИСЬМО</w:t>
      </w:r>
    </w:p>
    <w:p>
      <w:pPr>
        <w:pStyle w:val="2"/>
        <w:jc w:val="center"/>
      </w:pPr>
      <w:r>
        <w:rPr>
          <w:sz w:val="20"/>
        </w:rPr>
        <w:t xml:space="preserve">от 3 ноября 2020 г. N ИН-06-59/157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ОКАЗАНИЯ УСЛУГ ПО ВЫДАЧЕ ДЕРЖАТЕЛЯМ ПЛАТЕЖНЫХ</w:t>
      </w:r>
    </w:p>
    <w:p>
      <w:pPr>
        <w:pStyle w:val="2"/>
        <w:jc w:val="center"/>
      </w:pPr>
      <w:r>
        <w:rPr>
          <w:sz w:val="20"/>
        </w:rPr>
        <w:t xml:space="preserve">КАРТ НАЛИЧНЫХ ДЕНЕГ ОДНОВРЕМЕННО С ПОКУПКОЙ</w:t>
      </w:r>
    </w:p>
    <w:p>
      <w:pPr>
        <w:pStyle w:val="2"/>
        <w:jc w:val="center"/>
      </w:pPr>
      <w:r>
        <w:rPr>
          <w:sz w:val="20"/>
        </w:rPr>
        <w:t xml:space="preserve">В ТОРГОВО-СЕРВИСНЫХ ПРЕДПРИЯТИЯХ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результатам реализации пилотного проекта по предоставлению услуг по выдаче держателям платежных карт наличных денег в торгово-сервисных предприятиях (далее соответственно - пилотный проект, услуга/операция cash-out, ТСП) Банк России сообщает следующее.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Для минимизации рисков вовлечения ТСП, предоставляющих услугу cash-out, в противоправную деятельность Банк России рекомендует кредитным организациям - эмитентам платежных карт руководствоваться следующими подходами: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ежедневный лимит выдачи наличных денег по операциям cash-out (совокупно для всех карт физического лица, открытых в кредитной организации - эмитенте) не превышает 5 000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ежемесячный лимит выдачи наличных денег по операциям cash-out (совокупно для всех карт физического лица, открытых в кредитной организации - эмитенте) не превышает 30 000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наличных денег производится при условии покупки держателем платежной карты товара или услуги в ТСП;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услуга предоставляется физическим лицам - держателям платежных карт. По корпоративным платежным картам юридических лиц и индивидуальных предпринимателей услуга cash-out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Кредитным организациям, предоставляющим услуги эквайринга, рекомендуется устанавливать аналогичные лимиты на одно ТСП по одной карте.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Банк России также рекомендует довести до сведения ТСП - банковских платежных агентов, предоставляющих услугу cash-out,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соответствии с Федеральным </w:t>
      </w:r>
      <w:hyperlink w:history="0" r:id="rId6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22.05.2003 N 54-ФЗ "О применении контрольно-кассовой техники при осуществлении расчетов в Российской Федерации" (далее - Закон N 54-ФЗ) применение контрольно-кассовой техники банковскими платежными агентами является обязательным при осуществлении расчетов. В подтверждение совершения операции по выдаче наличных денег с банковского счета клиента в ТСП ему выдается кассовый чек. С учетом положений </w:t>
      </w:r>
      <w:hyperlink w:history="0" r:id="rId7" w:tooltip="Указание Банка России от 11.03.2014 N 3210-У (ред. от 05.10.2020) &quot;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&quot; (Зарегистрировано в Минюсте России 23.05.2014 N 32404) {КонсультантПлюс}">
        <w:r>
          <w:rPr>
            <w:sz w:val="20"/>
            <w:color w:val="0000ff"/>
          </w:rPr>
          <w:t xml:space="preserve">абзаца второго пункта 4.1</w:t>
        </w:r>
      </w:hyperlink>
      <w:r>
        <w:rPr>
          <w:sz w:val="20"/>
        </w:rPr>
        <w:t xml:space="preserve"> Указания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Указания 3210-У), предусматривающих возможность оформления расходного кассового ордера в конце дня на итоговую сумму расходных кассовых операций &lt;1&gt;, не требуется проведение в соответствии с </w:t>
      </w:r>
      <w:hyperlink w:history="0" r:id="rId8" w:tooltip="Указание Банка России от 11.03.2014 N 3210-У (ред. от 05.10.2020) &quot;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&quot; (Зарегистрировано в Минюсте России 23.05.2014 N 32404) {КонсультантПлюс}">
        <w:r>
          <w:rPr>
            <w:sz w:val="20"/>
            <w:color w:val="0000ff"/>
          </w:rPr>
          <w:t xml:space="preserve">пунктом 6.1</w:t>
        </w:r>
      </w:hyperlink>
      <w:r>
        <w:rPr>
          <w:sz w:val="20"/>
        </w:rPr>
        <w:t xml:space="preserve"> Указания 3210-У идентификации получателя наличных денег по предъявленному им паспорту или другому документу, удостоверяющему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Оформляется на основании фискальных документов, предусмотренных </w:t>
      </w:r>
      <w:hyperlink w:history="0" r:id="rId9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{КонсультантПлюс}">
        <w:r>
          <w:rPr>
            <w:sz w:val="20"/>
            <w:color w:val="0000ff"/>
          </w:rPr>
          <w:t xml:space="preserve">абзацем тридцать шестым статьи 1.1</w:t>
        </w:r>
      </w:hyperlink>
      <w:r>
        <w:rPr>
          <w:sz w:val="20"/>
        </w:rPr>
        <w:t xml:space="preserve"> Закона N 54-ФЗ, в том числе кассовых чеков.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При совершении операции cash-out не требуется предоставление физическим лицом - держателем платежной карты дополнительных документов 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целях снижения риска попадания неплатежеспособных и поддельных банкнот и монет Банка России в наличное денежное обращение полагаем целесообразным осуществляющим кассовые операции работникам ТСП - банковских платежных агентов, предоставляющих услугу cash-out, пройти дистанционное обучение и тестирование по Программе повышения профессиональных компетенций кассовых работников розничных сетей по вопросам определения подлинности и платежеспособности денежных знаков Банка России, которая размещена на сайте Университета Банка России (university.cbr.ru).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информационное письмо подлежит опубликованию в "Вестнике Банка России" и размещению на официальном сайте Банка России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Банка России</w:t>
      </w:r>
    </w:p>
    <w:p>
      <w:pPr>
        <w:pStyle w:val="0"/>
        <w:jc w:val="right"/>
      </w:pPr>
      <w:r>
        <w:rPr>
          <w:sz w:val="20"/>
        </w:rPr>
        <w:t xml:space="preserve">С.А.ШВЕЦОВ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Информационное письмо Банка России от 03.11.2020 N ИН-06-59/157</w:t>
            <w:br/>
            <w:t>"О порядке оказания услуг по выдаче держателям платежных...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Информационное письмо Банка России от 03.11.2020 N ИН-06-59/157 "О порядке оказания услуг по выдаче держателям платежных...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B6991EC24B51FB7331D37CF63E51E49430B7F0D1B54ABC171FB72AF2793F0FA0E52498CA2845A6EB38A5AC9DDED839234A76DCE5FP6YBJ" TargetMode = "External"/>
	<Relationship Id="rId7" Type="http://schemas.openxmlformats.org/officeDocument/2006/relationships/hyperlink" Target="consultantplus://offline/ref=4B6991EC24B51FB7331D37CF63E51E49440E710B1E52ABC171FB72AF2793F0FA0E52498AABD6007EB7C30FC3C3EA9B8C30B96DPCYDJ" TargetMode = "External"/>
	<Relationship Id="rId8" Type="http://schemas.openxmlformats.org/officeDocument/2006/relationships/hyperlink" Target="consultantplus://offline/ref=4B6991EC24B51FB7331D37CF63E51E49440E710B1E52ABC171FB72AF2793F0FA0E524988A489056BA69B02C4DAF49D942CBB6FCCP5YEJ" TargetMode = "External"/>
	<Relationship Id="rId9" Type="http://schemas.openxmlformats.org/officeDocument/2006/relationships/hyperlink" Target="consultantplus://offline/ref=4B6991EC24B51FB7331D37CF63E51E49430B7F0D1B54ABC171FB72AF2793F0FA0E524981A989056BA69B02C4DAF49D942CBB6FCCP5Y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Банка России от 03.11.2020 N ИН-06-59/157
"О порядке оказания услуг по выдаче держателям платежных карт наличных денег одновременно с покупкой в торгово-сервисных предприятиях"</dc:title>
  <dcterms:created xsi:type="dcterms:W3CDTF">2023-06-07T09:24:15Z</dcterms:created>
</cp:coreProperties>
</file>