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DC" w:rsidRDefault="002311D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11DC" w:rsidRDefault="002311DC">
      <w:pPr>
        <w:pStyle w:val="ConsPlusNormal"/>
        <w:jc w:val="both"/>
        <w:outlineLvl w:val="0"/>
      </w:pPr>
    </w:p>
    <w:p w:rsidR="002311DC" w:rsidRDefault="002311DC">
      <w:pPr>
        <w:pStyle w:val="ConsPlusNormal"/>
        <w:outlineLvl w:val="0"/>
      </w:pPr>
      <w:r>
        <w:t>Зарегистрировано в Минюсте России 16 декабря 2020 г. N 61508</w:t>
      </w:r>
    </w:p>
    <w:p w:rsidR="002311DC" w:rsidRDefault="002311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Title"/>
        <w:jc w:val="center"/>
      </w:pPr>
      <w:r>
        <w:t>МИНИСТЕРСТВО ПРИРОДНЫХ РЕСУРСОВ И ЭКОЛОГИИ</w:t>
      </w:r>
    </w:p>
    <w:p w:rsidR="002311DC" w:rsidRDefault="002311DC">
      <w:pPr>
        <w:pStyle w:val="ConsPlusTitle"/>
        <w:jc w:val="center"/>
      </w:pPr>
      <w:r>
        <w:t>РОССИЙСКОЙ ФЕДЕРАЦИИ</w:t>
      </w:r>
    </w:p>
    <w:p w:rsidR="002311DC" w:rsidRDefault="002311DC">
      <w:pPr>
        <w:pStyle w:val="ConsPlusTitle"/>
        <w:jc w:val="center"/>
      </w:pPr>
    </w:p>
    <w:p w:rsidR="002311DC" w:rsidRDefault="002311DC">
      <w:pPr>
        <w:pStyle w:val="ConsPlusTitle"/>
        <w:jc w:val="center"/>
      </w:pPr>
      <w:r>
        <w:t>ПРИКАЗ</w:t>
      </w:r>
    </w:p>
    <w:p w:rsidR="002311DC" w:rsidRDefault="002311DC">
      <w:pPr>
        <w:pStyle w:val="ConsPlusTitle"/>
        <w:jc w:val="center"/>
      </w:pPr>
      <w:r>
        <w:t>от 28 июля 2020 г. N 496</w:t>
      </w:r>
    </w:p>
    <w:p w:rsidR="002311DC" w:rsidRDefault="002311DC">
      <w:pPr>
        <w:pStyle w:val="ConsPlusTitle"/>
        <w:jc w:val="center"/>
      </w:pPr>
    </w:p>
    <w:p w:rsidR="002311DC" w:rsidRDefault="002311DC">
      <w:pPr>
        <w:pStyle w:val="ConsPlusTitle"/>
        <w:jc w:val="center"/>
      </w:pPr>
      <w:r>
        <w:t>ОБ УТВЕРЖДЕНИИ ПРАВИЛ</w:t>
      </w:r>
    </w:p>
    <w:p w:rsidR="002311DC" w:rsidRDefault="002311DC">
      <w:pPr>
        <w:pStyle w:val="ConsPlusTitle"/>
        <w:jc w:val="center"/>
      </w:pPr>
      <w:r>
        <w:t>ЗАГОТОВКИ И СБОРА НЕДРЕВЕСНЫХ ЛЕСНЫХ РЕСУРСОВ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32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31, ст. 5028) и </w:t>
      </w:r>
      <w:hyperlink r:id="rId7">
        <w:r>
          <w:rPr>
            <w:color w:val="0000FF"/>
          </w:rPr>
          <w:t>подпунктом 5.2.113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42, ст. 6635), приказываю:</w:t>
      </w:r>
      <w:proofErr w:type="gramEnd"/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заготовки и сбора </w:t>
      </w:r>
      <w:proofErr w:type="spellStart"/>
      <w:r>
        <w:t>недревесных</w:t>
      </w:r>
      <w:proofErr w:type="spellEnd"/>
      <w:r>
        <w:t xml:space="preserve"> лесных ресурсов.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right"/>
      </w:pPr>
      <w:r>
        <w:t>Министр</w:t>
      </w:r>
    </w:p>
    <w:p w:rsidR="002311DC" w:rsidRDefault="002311DC">
      <w:pPr>
        <w:pStyle w:val="ConsPlusNormal"/>
        <w:jc w:val="right"/>
      </w:pPr>
      <w:r>
        <w:t>Д.Н.КОБЫЛКИН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right"/>
        <w:outlineLvl w:val="0"/>
      </w:pPr>
      <w:r>
        <w:t>Утверждены</w:t>
      </w:r>
    </w:p>
    <w:p w:rsidR="002311DC" w:rsidRDefault="002311DC">
      <w:pPr>
        <w:pStyle w:val="ConsPlusNormal"/>
        <w:jc w:val="right"/>
      </w:pPr>
      <w:r>
        <w:t>приказом Минприроды России</w:t>
      </w:r>
    </w:p>
    <w:p w:rsidR="002311DC" w:rsidRDefault="002311DC">
      <w:pPr>
        <w:pStyle w:val="ConsPlusNormal"/>
        <w:jc w:val="right"/>
      </w:pPr>
      <w:r>
        <w:t>от 28.07.2020 N 496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Title"/>
        <w:jc w:val="center"/>
      </w:pPr>
      <w:bookmarkStart w:id="1" w:name="P28"/>
      <w:bookmarkEnd w:id="1"/>
      <w:r>
        <w:t>ПРАВИЛА ЗАГОТОВКИ И СБОРА НЕДРЕВЕСНЫХ ЛЕСНЫХ РЕСУРСОВ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Title"/>
        <w:jc w:val="center"/>
        <w:outlineLvl w:val="1"/>
      </w:pPr>
      <w:r>
        <w:t>I. Общие положения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1. Настоящие Правила заготовки и сбора </w:t>
      </w:r>
      <w:proofErr w:type="spellStart"/>
      <w:r>
        <w:t>недревесных</w:t>
      </w:r>
      <w:proofErr w:type="spellEnd"/>
      <w:r>
        <w:t xml:space="preserve"> лесных ресурсов (далее - Правила) разработаны в соответствии со </w:t>
      </w:r>
      <w:hyperlink r:id="rId8">
        <w:r>
          <w:rPr>
            <w:color w:val="0000FF"/>
          </w:rPr>
          <w:t>статьей 32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 xml:space="preserve">2020, N 17, ст. 2725) (далее - Лесной кодекс) и регулируют отношения, возникающие при заготовке и сборе </w:t>
      </w:r>
      <w:proofErr w:type="spellStart"/>
      <w:r>
        <w:t>недревесных</w:t>
      </w:r>
      <w:proofErr w:type="spellEnd"/>
      <w:r>
        <w:t xml:space="preserve"> лесных ресурсов, за исключением случаев заготовки и сбора этих видов ресурсов гражданами для собственных нужд.</w:t>
      </w:r>
      <w:proofErr w:type="gramEnd"/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2. Заготовка и сбор </w:t>
      </w:r>
      <w:proofErr w:type="spellStart"/>
      <w:r>
        <w:t>недревесных</w:t>
      </w:r>
      <w:proofErr w:type="spellEnd"/>
      <w:r>
        <w:t xml:space="preserve">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 &lt;1&gt;.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32</w:t>
        </w:r>
      </w:hyperlink>
      <w:r>
        <w:t xml:space="preserve"> Лесного кодекса (Собрание законодательства Российской Федерации, </w:t>
      </w:r>
      <w:r>
        <w:lastRenderedPageBreak/>
        <w:t>2006, N 50, ст. 5278; 2020, N 17, ст. 2725).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3. К </w:t>
      </w:r>
      <w:proofErr w:type="spellStart"/>
      <w:r>
        <w:t>недревесным</w:t>
      </w:r>
      <w:proofErr w:type="spellEnd"/>
      <w:r>
        <w:t xml:space="preserve"> лесным ресурсам относятся пни, береста, кора деревьев и кустарников, хворост, валежник,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 &lt;2&gt;.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2 статьи 32</w:t>
        </w:r>
      </w:hyperlink>
      <w:r>
        <w:t xml:space="preserve"> Лесного кодекса (Собрание законодательства Российской Федерации, 2006, N 50, ст. 5278; 2018, N 17, ст. 2426).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4. Граждане, юридические лица осуществляют заготовку и сбор </w:t>
      </w:r>
      <w:proofErr w:type="spellStart"/>
      <w:r>
        <w:t>недревесных</w:t>
      </w:r>
      <w:proofErr w:type="spellEnd"/>
      <w:r>
        <w:t xml:space="preserve"> лесных ресурсов на основании договоров аренды лесных участков &lt;3&gt;.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4 статьи 32</w:t>
        </w:r>
      </w:hyperlink>
      <w:r>
        <w:t xml:space="preserve"> Лесного кодекса (Собрание законодательства Российской Федерации, 2006, N 50, ст. 5278; 2020, N 17, ст. 2725).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5.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&lt;4&gt;.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4.1 статьи 32</w:t>
        </w:r>
      </w:hyperlink>
      <w:r>
        <w:t xml:space="preserve"> Лесного кодекса (Собрание законодательства Российской Федерации, 2006, N 50, ст. 5278; 2009, N 11, ст. 1261).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6.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 &lt;5&gt;.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2 статьи 24</w:t>
        </w:r>
      </w:hyperlink>
      <w:r>
        <w:t xml:space="preserve"> Лесного кодекса (Собрание законодательства Российской Федерации, 2006, N 50, ст. 5278; 2018, N 52, ст. 8100).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7. Заготовленные </w:t>
      </w:r>
      <w:proofErr w:type="spellStart"/>
      <w:r>
        <w:t>недревесные</w:t>
      </w:r>
      <w:proofErr w:type="spellEnd"/>
      <w:r>
        <w:t xml:space="preserve"> лесные ресурсы являются согласно </w:t>
      </w:r>
      <w:hyperlink r:id="rId14">
        <w:r>
          <w:rPr>
            <w:color w:val="0000FF"/>
          </w:rPr>
          <w:t>части 1 статьи 20</w:t>
        </w:r>
      </w:hyperlink>
      <w:r>
        <w:t xml:space="preserve"> Лесного кодекса &lt;6&gt; собственностью </w:t>
      </w:r>
      <w:proofErr w:type="spellStart"/>
      <w:r>
        <w:t>лесопользователя</w:t>
      </w:r>
      <w:proofErr w:type="spellEnd"/>
      <w:r>
        <w:t xml:space="preserve">, которому лесной участок передан для использования лесов для заготовки и сбора </w:t>
      </w:r>
      <w:proofErr w:type="spellStart"/>
      <w:r>
        <w:t>недревесных</w:t>
      </w:r>
      <w:proofErr w:type="spellEnd"/>
      <w:r>
        <w:t xml:space="preserve"> лесных ресурсов.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&lt;6&gt; Лесной </w:t>
      </w:r>
      <w:hyperlink r:id="rId15">
        <w:r>
          <w:rPr>
            <w:color w:val="0000FF"/>
          </w:rPr>
          <w:t>кодекс</w:t>
        </w:r>
      </w:hyperlink>
      <w:r>
        <w:t xml:space="preserve"> (Собрание законодательства Российской Федерации, 2006, N 50, ст. 5278).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В случае заключения с </w:t>
      </w:r>
      <w:proofErr w:type="spellStart"/>
      <w:r>
        <w:t>лесопользователем</w:t>
      </w:r>
      <w:proofErr w:type="spellEnd"/>
      <w:r>
        <w:t xml:space="preserve"> договора купли-продажи лесных насаждений без предоставления лесных участков для осуществления заготовки елей или деревьев других хвойных пород для новогодних праздников гражданами, юридическими лицами право собственности на такие заготовленные </w:t>
      </w:r>
      <w:proofErr w:type="spellStart"/>
      <w:r>
        <w:t>недревесные</w:t>
      </w:r>
      <w:proofErr w:type="spellEnd"/>
      <w:r>
        <w:t xml:space="preserve"> лесные ресурсы принадлежит лицам, с которыми заключены соответствующие договоры купли-продажи лесных насаждений без предоставления лесных участков.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8. Заготовка и сбор </w:t>
      </w:r>
      <w:proofErr w:type="spellStart"/>
      <w:r>
        <w:t>недревесных</w:t>
      </w:r>
      <w:proofErr w:type="spellEnd"/>
      <w:r>
        <w:t xml:space="preserve"> лесных ресурсов могут ограничиваться в соответствии со </w:t>
      </w:r>
      <w:hyperlink r:id="rId16">
        <w:r>
          <w:rPr>
            <w:color w:val="0000FF"/>
          </w:rPr>
          <w:t>статьей 27</w:t>
        </w:r>
      </w:hyperlink>
      <w:r>
        <w:t xml:space="preserve"> Лесного кодекса &lt;7&gt;.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Статья 27</w:t>
        </w:r>
      </w:hyperlink>
      <w:r>
        <w:t xml:space="preserve"> Лесного кодекса (Собрание законодательства Российской Федерации, 2006, N 50, ст. 5278; 2018, N 53, ст. 8464).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9. Заготовка и сбор </w:t>
      </w:r>
      <w:proofErr w:type="spellStart"/>
      <w:r>
        <w:t>недревесных</w:t>
      </w:r>
      <w:proofErr w:type="spellEnd"/>
      <w:r>
        <w:t xml:space="preserve"> лесных ресурсов могут быть </w:t>
      </w:r>
      <w:proofErr w:type="gramStart"/>
      <w:r>
        <w:t>ограничены</w:t>
      </w:r>
      <w:proofErr w:type="gramEnd"/>
      <w:r>
        <w:t xml:space="preserve"> или запрещены в районах, загрязненных радиоактивными веществами &lt;8&gt;.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1992 г. N 1008 "О режиме территорий, подвергшихся радиоактивному загрязнению вследствие катастрофы на Чернобыльской АЭС" (Собрание актов Президента Российской Федерации и Правительства Российской Федерации, 1993, N 5, ст. 387; Собрание законодательства Российской Федерации, 1996, N 13, ст. 1365).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10. Настоящие Правила применяются во всех лесных районах Российской Федерации. Срок окончания действия настоящих Правил 31 декабря 2026 года.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Title"/>
        <w:jc w:val="center"/>
        <w:outlineLvl w:val="1"/>
      </w:pPr>
      <w:r>
        <w:t>II. Права и обязанности граждан, юридических лиц,</w:t>
      </w:r>
    </w:p>
    <w:p w:rsidR="002311DC" w:rsidRDefault="002311DC">
      <w:pPr>
        <w:pStyle w:val="ConsPlusTitle"/>
        <w:jc w:val="center"/>
      </w:pPr>
      <w:r>
        <w:t>осуществляющих использование лесов для заготовки и сбора</w:t>
      </w:r>
    </w:p>
    <w:p w:rsidR="002311DC" w:rsidRDefault="002311DC">
      <w:pPr>
        <w:pStyle w:val="ConsPlusTitle"/>
        <w:jc w:val="center"/>
      </w:pPr>
      <w:proofErr w:type="spellStart"/>
      <w:r>
        <w:t>недревесных</w:t>
      </w:r>
      <w:proofErr w:type="spellEnd"/>
      <w:r>
        <w:t xml:space="preserve"> лесных ресурсов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11. Граждане, юридические лица, использующие леса для заготовки и сбора </w:t>
      </w:r>
      <w:proofErr w:type="spellStart"/>
      <w:r>
        <w:t>недревесных</w:t>
      </w:r>
      <w:proofErr w:type="spellEnd"/>
      <w:r>
        <w:t xml:space="preserve"> лесных ресурсов, имеют право: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осуществлять использование лесов в соответствии с условиями договора аренды лесного участка (договора купли-продажи лесных насаждений);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создавать лесную инфраструктуру, в том числе лесные дороги &lt;9&gt;;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9">
        <w:r>
          <w:rPr>
            <w:color w:val="0000FF"/>
          </w:rPr>
          <w:t>Часть 1 статьи 13</w:t>
        </w:r>
      </w:hyperlink>
      <w:r>
        <w:t xml:space="preserve"> Лесного кодекса (Собрание законодательства, 2006, N 50, ст. 5278; 2016, N 26, ст. 3875).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возводить на предоставленных лесных участках навесы и другие некапитальные строения, сооружения &lt;10&gt;.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0">
        <w:r>
          <w:rPr>
            <w:color w:val="0000FF"/>
          </w:rPr>
          <w:t>Часть 3 статьи 32</w:t>
        </w:r>
      </w:hyperlink>
      <w:r>
        <w:t xml:space="preserve"> Лесного кодекса (Собрание законодательства, 2006, N 50, ст. 5278; 2018, N 52, ст. 8100).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12. Граждане, юридические лица, использующие леса для заготовки и сбора </w:t>
      </w:r>
      <w:proofErr w:type="spellStart"/>
      <w:r>
        <w:t>недревесных</w:t>
      </w:r>
      <w:proofErr w:type="spellEnd"/>
      <w:r>
        <w:t xml:space="preserve"> лесных ресурсов, обязаны: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составлять проект освоения лесов &lt;11&gt;;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1">
        <w:r>
          <w:rPr>
            <w:color w:val="0000FF"/>
          </w:rPr>
          <w:t>Часть 1 статьи 88</w:t>
        </w:r>
      </w:hyperlink>
      <w:r>
        <w:t xml:space="preserve"> Лесного кодекса (Собрание законодательства Российской Федерации, 2006, N 50, ст. 5278; 2018, N 32, ст. 5134).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lastRenderedPageBreak/>
        <w:t>осуществлять использование лесов в соответствии с проектом освоения лесов; соблюдать условия договора аренды лесного участка (договора купли-продажи лесных насаждений);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осуществлять меры санитарной безопасности в лесах, в том числе санитарно-оздоровительные и профилактические мероприятия по защите лесов &lt;12&gt;;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2">
        <w:r>
          <w:rPr>
            <w:color w:val="0000FF"/>
          </w:rPr>
          <w:t>Статья 60.3</w:t>
        </w:r>
      </w:hyperlink>
      <w:r>
        <w:t xml:space="preserve"> Лесного кодекса (Собрание законодательства Российской Федерации, 2016, N 1, ст. 75).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соблюдать правила пожарной безопасности в лесах &lt;13&gt;;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3">
        <w:r>
          <w:rPr>
            <w:color w:val="0000FF"/>
          </w:rPr>
          <w:t>Часть 3 статьи 53</w:t>
        </w:r>
      </w:hyperlink>
      <w:r>
        <w:t xml:space="preserve"> Лесного кодекса (Собрание законодательства Российской Федерации, 2007, N 28, ст. 3432; 2019, N 16, ст. 1960).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осуществлять меры, направленные на исключение случаев загрязнения (в том числе радиоактивными веществами) лесов и иного негативного воздействия на леса &lt;14&gt;;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4">
        <w:r>
          <w:rPr>
            <w:color w:val="0000FF"/>
          </w:rPr>
          <w:t>Глава 3.2</w:t>
        </w:r>
      </w:hyperlink>
      <w:r>
        <w:t xml:space="preserve"> Лесного кодекса (Собрание законодательства Российской Федерации, 2006, N 50, ст. 5278; 2018, N 32, ст. 5134).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соблюдать правила пожарной безопасности в лесах &lt;15&gt;;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5">
        <w:r>
          <w:rPr>
            <w:color w:val="0000FF"/>
          </w:rPr>
          <w:t>Статья 53</w:t>
        </w:r>
      </w:hyperlink>
      <w:r>
        <w:t xml:space="preserve"> Лесного кодекса (Собрание законодательства Российской Федерации, 2006, N 50, ст. 5278; 2011, N 1, ст. 54).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подавать ежегодно лесную декларацию &lt;16&gt;;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6">
        <w:r>
          <w:rPr>
            <w:color w:val="0000FF"/>
          </w:rPr>
          <w:t>Часть 2 статьи 26</w:t>
        </w:r>
      </w:hyperlink>
      <w:r>
        <w:t xml:space="preserve"> Лесного кодекса (Собрание законодательства Российской Федерации, 2006, N 50, ст. 5278; 2018, N 32, ст. 5134).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представлять отчет об использовании лесов &lt;17&gt;;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27">
        <w:r>
          <w:rPr>
            <w:color w:val="0000FF"/>
          </w:rPr>
          <w:t>Часть 1 статьи 49</w:t>
        </w:r>
      </w:hyperlink>
      <w:r>
        <w:t xml:space="preserve"> Лесного кодекса (Собрание законодательства Российской Федерации, 2006, N 50, ст. 5278; 2016, N 26, ст. 3887).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представлять отчет об охране лесов от пожаров &lt;18&gt;;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8">
        <w:r>
          <w:rPr>
            <w:color w:val="0000FF"/>
          </w:rPr>
          <w:t>Часть 1 статьи 60</w:t>
        </w:r>
      </w:hyperlink>
      <w:r>
        <w:t xml:space="preserve"> Лесного кодекса (Собрание законодательства Российской Федерации, 2006, N 50, ст. 5278; 2016, N 26, ст. 3887).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>представлять отчет о защите лесов &lt;19&gt;;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lastRenderedPageBreak/>
        <w:t xml:space="preserve">&lt;19&gt; </w:t>
      </w:r>
      <w:hyperlink r:id="rId29">
        <w:r>
          <w:rPr>
            <w:color w:val="0000FF"/>
          </w:rPr>
          <w:t>Часть 1 статьи 60.11</w:t>
        </w:r>
      </w:hyperlink>
      <w:r>
        <w:t xml:space="preserve"> Лесного кодекса (Собрание законодательства Российской Федерации, 2006, N 50, ст. 5278; 2016, N 26, ст. 3887).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представлять в уполномоченный орган государственной власти, орган местного самоуправления документированную информацию, предусмотренную </w:t>
      </w:r>
      <w:hyperlink r:id="rId30">
        <w:r>
          <w:rPr>
            <w:color w:val="0000FF"/>
          </w:rPr>
          <w:t>частью 2 статьи 91</w:t>
        </w:r>
      </w:hyperlink>
      <w:r>
        <w:t xml:space="preserve"> Лесного кодекса, для внесения в государственный лесной реестр &lt;20&gt;.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1">
        <w:r>
          <w:rPr>
            <w:color w:val="0000FF"/>
          </w:rPr>
          <w:t>Часть 4 статьи 91</w:t>
        </w:r>
      </w:hyperlink>
      <w:r>
        <w:t xml:space="preserve"> Лесного кодекса (Собрание законодательства Российской Федерации, 2006, N 50, ст. 5278; 2018, N 53, ст. 8464).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Title"/>
        <w:jc w:val="center"/>
        <w:outlineLvl w:val="1"/>
      </w:pPr>
      <w:r>
        <w:t>III. Требования к использованию лесов</w:t>
      </w:r>
    </w:p>
    <w:p w:rsidR="002311DC" w:rsidRDefault="002311DC">
      <w:pPr>
        <w:pStyle w:val="ConsPlusTitle"/>
        <w:jc w:val="center"/>
      </w:pPr>
      <w:r>
        <w:t>при осуществлении заготовки и сбора отдельных видов</w:t>
      </w:r>
    </w:p>
    <w:p w:rsidR="002311DC" w:rsidRDefault="002311DC">
      <w:pPr>
        <w:pStyle w:val="ConsPlusTitle"/>
        <w:jc w:val="center"/>
      </w:pPr>
      <w:proofErr w:type="spellStart"/>
      <w:r>
        <w:t>недревесных</w:t>
      </w:r>
      <w:proofErr w:type="spellEnd"/>
      <w:r>
        <w:t xml:space="preserve"> лесных ресурсов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ind w:firstLine="540"/>
        <w:jc w:val="both"/>
      </w:pPr>
      <w:r>
        <w:t xml:space="preserve">13. Заготовка пней (заготовка </w:t>
      </w:r>
      <w:proofErr w:type="spellStart"/>
      <w:r>
        <w:t>пневого</w:t>
      </w:r>
      <w:proofErr w:type="spellEnd"/>
      <w:r>
        <w:t xml:space="preserve"> осмола).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Заготовка пней (заготовка </w:t>
      </w:r>
      <w:proofErr w:type="spellStart"/>
      <w:r>
        <w:t>пневого</w:t>
      </w:r>
      <w:proofErr w:type="spellEnd"/>
      <w:r>
        <w:t xml:space="preserve"> осмола) разрешается в лесах любого целевого назначения, в которых она не может нанести ущерба насаждениям, подросту, </w:t>
      </w:r>
      <w:proofErr w:type="spellStart"/>
      <w:r>
        <w:t>несомкнувшимся</w:t>
      </w:r>
      <w:proofErr w:type="spellEnd"/>
      <w:r>
        <w:t xml:space="preserve"> лесным культурам.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Заготовка </w:t>
      </w:r>
      <w:proofErr w:type="spellStart"/>
      <w:r>
        <w:t>пневого</w:t>
      </w:r>
      <w:proofErr w:type="spellEnd"/>
      <w:r>
        <w:t xml:space="preserve"> осмола не допускается в противоэрозионных лесах, на берегозащитных, почвозащитных участках лесов, расположенных вдоль водных объектов, склонов оврагов, в лесах научного или исторического значения, а также в молодняках с полнотой 0,8 - 1,0 и </w:t>
      </w:r>
      <w:proofErr w:type="spellStart"/>
      <w:r>
        <w:t>несомкнувшихся</w:t>
      </w:r>
      <w:proofErr w:type="spellEnd"/>
      <w:r>
        <w:t xml:space="preserve"> лесных культурах.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Ямы, оставленные после заготовки пней (заготовки </w:t>
      </w:r>
      <w:proofErr w:type="spellStart"/>
      <w:r>
        <w:t>пневого</w:t>
      </w:r>
      <w:proofErr w:type="spellEnd"/>
      <w:r>
        <w:t xml:space="preserve"> осмола), должны быть засыпаны плодородным слоем почвы и заровнены.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14. Заготовка бересты.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бересты допускается с растущих деревьев на отведенных в рубку лесных насаждениях, на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 и другие площади, на которых не требуется сохранение насаждений), а также со свежесрубленных деревьев на лесосеках при проведении выборочных и сплошных рубок.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бересты с растущих деревьев должна производиться в весенне-летний и осенний периоды без повреждения луба. При этом используемая для заготовки часть ствола не должна превышать половины общей высоты дерева.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Заготовка бересты с сухостойных и </w:t>
      </w:r>
      <w:proofErr w:type="spellStart"/>
      <w:r>
        <w:t>валежных</w:t>
      </w:r>
      <w:proofErr w:type="spellEnd"/>
      <w:r>
        <w:t xml:space="preserve"> деревьев производится в течение всего года.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Запрещается рубка деревьев для заготовки бересты.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15. Заготовка коры деревьев и кустарников.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коры деревьев и кустарников осуществляется одновременно с рубкой деревьев и кустарников в течение всего года. Ивовое корье заготавливается в весенне-летний период.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Заготовка коры деревьев и кустарников не допускается, если эта деятельность ведет к снижению качества заготовленной </w:t>
      </w:r>
      <w:proofErr w:type="spellStart"/>
      <w:r>
        <w:t>лесопродукции</w:t>
      </w:r>
      <w:proofErr w:type="spellEnd"/>
      <w:r>
        <w:t>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Для заготовки ивового корья пригодны кустарниковые ивы в возрасте 5 лет и старше, </w:t>
      </w:r>
      <w:r>
        <w:lastRenderedPageBreak/>
        <w:t>древовидные - 15 лет и старше.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16. Заготовка хвороста.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При заготовке хвороста осуществляется сбор срезанных тонких стволов диаметром в комле до 4 см малоценных сопутствующих пород, подлежащих вырубке или производстве рубок ухода за молодняками естественного и искусственного происхождения основной лесообразующей породы, на которую ведется хозяйство.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При заготовке хвороста не допускается спил деревьев и кустарников, их вершин, сучьев и ветвей.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Не допускается обрубка сучьев и вершин с </w:t>
      </w:r>
      <w:proofErr w:type="spellStart"/>
      <w:r>
        <w:t>сырорастущих</w:t>
      </w:r>
      <w:proofErr w:type="spellEnd"/>
      <w:r>
        <w:t xml:space="preserve"> деревьев. Заготовка хвороста осуществляется в течение всего года.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17. Заготовка валежника.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снеговале, и других природных явлений.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валежника осуществляется в течение всего года.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При заготовке валежника допускается применение ручного инструмента (ручных пил, топоров, легких бензопил).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18. Заготовка веточного корма.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При заготовке веточного корма осуществляется сбор ветвей толщиной до 1,5 см, заготовленных из побегов лиственных и хвойных пород и предназначенных на корм скоту.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Заготавливают веточный корм из побегов лиственных пород в основном летом, хвойных пород - круглогодично.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веточного корма производится со срубленных деревьев при проведении выборочных и сплошных рубок.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19. Заготовка еловых, пихтовых, сосновых лап.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еловых, пихтовых, сосновых лап разрешается только со срубленных деревьев на лесосеках при проведении выборочных и сплошных рубок, за исключением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20. Заготовка елей или деревьев других хвойных пород для новогодних праздников.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елей или деревьев других хвойных пород для новогодних праздников в первую очередь производится на специальных плантациях,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дорог, линии электропередачи, зоны затопления и другие площади, где не требуется сохранения подроста и насаждений).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Допускается заготовка елей или деревьев других хвойных пород для новогодних праздников из вершинной части срубленных елей.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lastRenderedPageBreak/>
        <w:t>21. Заготовка мха, лесной подстилки, опавших листьев, камыша, тростника и подобных лесных ресурсов.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мха, лесной подстилки, опавших листьев, камыша, тростника производится с целью их использования в качестве вспомогательного материала для строительства, а также корма и подстилки для сельскохозяйственных животных или приготовления компоста. При их заготовке не должен быть нанесен вред окружающей природной среде.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Сбор лесной подстилки и опавшего листа разрешается производить на одной и той же площади не чаще одного раза в пять лет. Сбор подстилки должен производиться частично, без углубления на всю ее толщину.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Сбор лесной подстилки должен производиться в конце летнего периода, но до наступления листопада, чтобы опадание листвы и хвои создало естественное удобрение лесной почвы.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Запрещается сбор подстилки в лесах, выполняющих функции защиты природных и иных объектов, в лесах, расположенных в </w:t>
      </w:r>
      <w:proofErr w:type="spellStart"/>
      <w:r>
        <w:t>водоохранных</w:t>
      </w:r>
      <w:proofErr w:type="spellEnd"/>
      <w:r>
        <w:t xml:space="preserve"> зонах, в ценных лесах.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22. Заготовка (выкопка) деревьев, кустарников и лиан на лесных участках.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Заготовка (выкопка) деревьев на лесных участках может проводиться на нелесных землях (дороги, просеки) из числа самосева хвойных, твердолиственных пород до 40 лет, </w:t>
      </w:r>
      <w:proofErr w:type="spellStart"/>
      <w:r>
        <w:t>мягколиственных</w:t>
      </w:r>
      <w:proofErr w:type="spellEnd"/>
      <w:r>
        <w:t xml:space="preserve"> пород до 20 лет, в кедровых насаждениях и насаждениях твердолиственных пород семенного происхождения - до 40 лет.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(выкопка) деревьев может проводиться на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дорог, линии электропередачи, зоны затопления и другие площади, где не требуется сохранения подроста и насаждений).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(выкопка) кустарников подлеска на лесных участках может проводиться в насаждениях с подлеском средней или высокой густоты и преобладанием в его составе заготавливаемого вида. Число оставшихся кустов заготавливаемого вида после выкопки не должно быть менее 1000 штук на гектар.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Ямы, оставленные после заготовки (выкопки) деревьев, кустарников и лиан, должны быть засыпаны плодородным слоем почвы и заровнены.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23. Заготовка веников, ветвей и кустарников для метел и плетения.</w:t>
      </w:r>
    </w:p>
    <w:p w:rsidR="002311DC" w:rsidRDefault="002311DC">
      <w:pPr>
        <w:pStyle w:val="ConsPlusNormal"/>
        <w:spacing w:before="220"/>
        <w:ind w:firstLine="540"/>
        <w:jc w:val="both"/>
      </w:pPr>
      <w:proofErr w:type="gramStart"/>
      <w:r>
        <w:t>Заготовка веников, ветвей и кустарников лиственных пород для метел и плетения производится на лесных участках, подлежащих расчистке (квартальные просеки, противопожарные разрывы, трассы противопожарных и лесохозяйственных дорог, сенокосы, линии электропередачи, зоны затопления и другие площади, где не требуется сохранения подроста и насаждений), а также со срубленных деревьев на лесосеках при проведении выборочных и сплошных рубок.</w:t>
      </w:r>
      <w:proofErr w:type="gramEnd"/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веников, ветвей и кустарников для метел и плетения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24. Заготовка древесной зелени.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К древесной зелени относятся листья, почки, хвоя и побеги хвойных и лиственных пород с диаметром до 8 мм у основания.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lastRenderedPageBreak/>
        <w:t>Заготовка древесной зелени для производства хвойно-витаминной муки разрешается только со срубленных деревьев на лесосеках при проведении выборочных и сплошных рубок.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 xml:space="preserve">Для производства пихтового масла разрешается ручная заготовка древесной зелени (пихтовой лапки) в спелых пихтовых насаждениях в весенне-летний период с растущих деревьев диаметром не менее 18 см путем обрезки веток острыми инструментами на протяжении не более 30% живой кроны. При этом срезы сучьев должны быть прямыми и гладкими, без </w:t>
      </w:r>
      <w:proofErr w:type="spellStart"/>
      <w:r>
        <w:t>отлупов</w:t>
      </w:r>
      <w:proofErr w:type="spellEnd"/>
      <w:r>
        <w:t xml:space="preserve">, расщепов, </w:t>
      </w:r>
      <w:proofErr w:type="spellStart"/>
      <w:r>
        <w:t>задиров</w:t>
      </w:r>
      <w:proofErr w:type="spellEnd"/>
      <w:r>
        <w:t xml:space="preserve"> и надломов, а длина оставляемых на деревьях оснований сучьев должна быть не менее 30 см.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Повторная заготовка пихтовой лапки в одних и тех же насаждениях допускается не ранее чем через 4 - 5 лет.</w:t>
      </w:r>
    </w:p>
    <w:p w:rsidR="002311DC" w:rsidRDefault="002311DC">
      <w:pPr>
        <w:pStyle w:val="ConsPlusNormal"/>
        <w:spacing w:before="220"/>
        <w:ind w:firstLine="540"/>
        <w:jc w:val="both"/>
      </w:pPr>
      <w:r>
        <w:t>Заготовка древесной зелени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</w: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jc w:val="both"/>
      </w:pPr>
    </w:p>
    <w:p w:rsidR="002311DC" w:rsidRDefault="002311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917" w:rsidRDefault="002B6917"/>
    <w:sectPr w:rsidR="002B6917" w:rsidSect="0091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C"/>
    <w:rsid w:val="000D4C49"/>
    <w:rsid w:val="002311DC"/>
    <w:rsid w:val="002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1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1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199" TargetMode="External"/><Relationship Id="rId13" Type="http://schemas.openxmlformats.org/officeDocument/2006/relationships/hyperlink" Target="https://login.consultant.ru/link/?req=doc&amp;base=LAW&amp;n=480012&amp;dst=893" TargetMode="External"/><Relationship Id="rId18" Type="http://schemas.openxmlformats.org/officeDocument/2006/relationships/hyperlink" Target="https://login.consultant.ru/link/?req=doc&amp;base=LAW&amp;n=9866" TargetMode="External"/><Relationship Id="rId26" Type="http://schemas.openxmlformats.org/officeDocument/2006/relationships/hyperlink" Target="https://login.consultant.ru/link/?req=doc&amp;base=LAW&amp;n=480012&amp;dst=8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884" TargetMode="External"/><Relationship Id="rId7" Type="http://schemas.openxmlformats.org/officeDocument/2006/relationships/hyperlink" Target="https://login.consultant.ru/link/?req=doc&amp;base=LAW&amp;n=484545&amp;dst=100142" TargetMode="External"/><Relationship Id="rId12" Type="http://schemas.openxmlformats.org/officeDocument/2006/relationships/hyperlink" Target="https://login.consultant.ru/link/?req=doc&amp;base=LAW&amp;n=480012&amp;dst=100786" TargetMode="External"/><Relationship Id="rId17" Type="http://schemas.openxmlformats.org/officeDocument/2006/relationships/hyperlink" Target="https://login.consultant.ru/link/?req=doc&amp;base=LAW&amp;n=480012&amp;dst=100164" TargetMode="External"/><Relationship Id="rId25" Type="http://schemas.openxmlformats.org/officeDocument/2006/relationships/hyperlink" Target="https://login.consultant.ru/link/?req=doc&amp;base=LAW&amp;n=480012&amp;dst=10084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00164" TargetMode="External"/><Relationship Id="rId20" Type="http://schemas.openxmlformats.org/officeDocument/2006/relationships/hyperlink" Target="https://login.consultant.ru/link/?req=doc&amp;base=LAW&amp;n=480012&amp;dst=895" TargetMode="External"/><Relationship Id="rId29" Type="http://schemas.openxmlformats.org/officeDocument/2006/relationships/hyperlink" Target="https://login.consultant.ru/link/?req=doc&amp;base=LAW&amp;n=480012&amp;dst=4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199" TargetMode="External"/><Relationship Id="rId11" Type="http://schemas.openxmlformats.org/officeDocument/2006/relationships/hyperlink" Target="https://login.consultant.ru/link/?req=doc&amp;base=LAW&amp;n=480012&amp;dst=100198" TargetMode="External"/><Relationship Id="rId24" Type="http://schemas.openxmlformats.org/officeDocument/2006/relationships/hyperlink" Target="https://login.consultant.ru/link/?req=doc&amp;base=LAW&amp;n=480012&amp;dst=49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" TargetMode="External"/><Relationship Id="rId23" Type="http://schemas.openxmlformats.org/officeDocument/2006/relationships/hyperlink" Target="https://login.consultant.ru/link/?req=doc&amp;base=LAW&amp;n=480012&amp;dst=100854" TargetMode="External"/><Relationship Id="rId28" Type="http://schemas.openxmlformats.org/officeDocument/2006/relationships/hyperlink" Target="https://login.consultant.ru/link/?req=doc&amp;base=LAW&amp;n=480012&amp;dst=486" TargetMode="External"/><Relationship Id="rId10" Type="http://schemas.openxmlformats.org/officeDocument/2006/relationships/hyperlink" Target="https://login.consultant.ru/link/?req=doc&amp;base=LAW&amp;n=480012&amp;dst=777" TargetMode="External"/><Relationship Id="rId19" Type="http://schemas.openxmlformats.org/officeDocument/2006/relationships/hyperlink" Target="https://login.consultant.ru/link/?req=doc&amp;base=LAW&amp;n=480012&amp;dst=441" TargetMode="External"/><Relationship Id="rId31" Type="http://schemas.openxmlformats.org/officeDocument/2006/relationships/hyperlink" Target="https://login.consultant.ru/link/?req=doc&amp;base=LAW&amp;n=480012&amp;dst=100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195" TargetMode="External"/><Relationship Id="rId14" Type="http://schemas.openxmlformats.org/officeDocument/2006/relationships/hyperlink" Target="https://login.consultant.ru/link/?req=doc&amp;base=LAW&amp;n=480012&amp;dst=100107" TargetMode="External"/><Relationship Id="rId22" Type="http://schemas.openxmlformats.org/officeDocument/2006/relationships/hyperlink" Target="https://login.consultant.ru/link/?req=doc&amp;base=LAW&amp;n=480012&amp;dst=357" TargetMode="External"/><Relationship Id="rId27" Type="http://schemas.openxmlformats.org/officeDocument/2006/relationships/hyperlink" Target="https://login.consultant.ru/link/?req=doc&amp;base=LAW&amp;n=480012&amp;dst=461" TargetMode="External"/><Relationship Id="rId30" Type="http://schemas.openxmlformats.org/officeDocument/2006/relationships/hyperlink" Target="https://login.consultant.ru/link/?req=doc&amp;base=LAW&amp;n=480012&amp;dst=100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2025-04-08T11:25:00Z</dcterms:created>
  <dcterms:modified xsi:type="dcterms:W3CDTF">2025-04-08T11:25:00Z</dcterms:modified>
</cp:coreProperties>
</file>