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F9" w:rsidRDefault="00A9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</w:t>
      </w:r>
      <w:r w:rsidR="0056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результатах </w:t>
      </w:r>
      <w:proofErr w:type="gramStart"/>
      <w:r w:rsidR="0056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</w:t>
      </w:r>
      <w:r w:rsidR="0056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охраны окружающей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среды администрации города Оренбурга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56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804F9" w:rsidRDefault="00D804F9">
      <w:pPr>
        <w:spacing w:after="0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Оренбургского городского Совета от 25.08.2022 № 250 внесены изменения 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городского Совета от 11.10.2019 № 757                «Об утверждении структуры Администрации города Оренбурга»,                                  в соответствии с которыми в структуре Администрации города Оренбурга упразднен отдел охраны окруж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ающей среды администрации города Оренбурга                 и создано управление охраны окружающей среды администрации города Оренбурга (далее – Управление).</w:t>
      </w:r>
      <w:proofErr w:type="gramEnd"/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Оренбургского городского Совета от 27.10.2022 № 278                         утверждено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об управлении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окружающей среды администрации города Оренбурга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рамках реализации полномочий в отчетном периоде за 2022 год Управлением: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области обращения с отходами: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осуществлялось ведение единого реестра мест (площадок) накопл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твердых коммунальных отходов (далее – ТКО) на территории муниципального образования «город Оренбург» (далее – Реестр), включающий в себя 1280 мест (площадок) накопления ТКО. Реестр размещен на официальном Интернет-портале города Оренбурга;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надлежащего исполнения функций по ведению Реестра Управлением совместно со специалистами управления по информатике и связи администрации города Оренбурга организовано и проведено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 тестирование (в формате семинара-сов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ещания) ответственных за ведение Реестра специалистов администраций Южного и Северного округов;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организованы и проведены общественные обсуждения о намечаемой хозяйственной деятельности, которая подлежит экологической экспертизе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по объектам государственной экологической экспертизы: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«Строительство цеха механического обезвоживания осадка (ЦМО) на ОСК                   г. Оренбурга» (издано постановление Администрации города Оренбурга                                    от 04.0</w:t>
      </w:r>
      <w:r>
        <w:rPr>
          <w:rFonts w:ascii="Times New Roman" w:hAnsi="Times New Roman" w:cs="Times New Roman"/>
          <w:sz w:val="28"/>
          <w:szCs w:val="28"/>
        </w:rPr>
        <w:t>4.2022 № 628-п);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«Газопровод внешнего транспорт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Сладковско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-Заречное» до точки подключения в районе УКПГ-3 ООО «Газпром добыча Оренбург» (издано постановление Администрации города Оренбурга от 01.08.2022 № 1414-п);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 проекту технического задания,</w:t>
      </w:r>
      <w:r>
        <w:rPr>
          <w:rFonts w:ascii="Times New Roman" w:hAnsi="Times New Roman"/>
          <w:sz w:val="28"/>
          <w:szCs w:val="28"/>
        </w:rPr>
        <w:t xml:space="preserve"> предварительным материалам оценки воздействия на окружающую среду, проектной документации по объекту: «Строительство цеха механического обезвоживания осадка (ЦМО) на ОСК                      г. Оренбурга» </w:t>
      </w:r>
      <w:r>
        <w:rPr>
          <w:rFonts w:ascii="Times New Roman" w:hAnsi="Times New Roman" w:cs="Times New Roman"/>
          <w:sz w:val="28"/>
          <w:szCs w:val="28"/>
        </w:rPr>
        <w:t>(издано постановление Администрации города Оренбур</w:t>
      </w:r>
      <w:r>
        <w:rPr>
          <w:rFonts w:ascii="Times New Roman" w:hAnsi="Times New Roman" w:cs="Times New Roman"/>
          <w:sz w:val="28"/>
          <w:szCs w:val="28"/>
        </w:rPr>
        <w:t>га                            от 09.08.2022 № 1459-п);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«Разработка проектной документации на рекультивацию (ликвидацию) несанкционированной свалки в границах Южного округа города Оренбурга» </w:t>
      </w:r>
      <w:r>
        <w:rPr>
          <w:rFonts w:ascii="Times New Roman" w:hAnsi="Times New Roman" w:cs="Times New Roman"/>
          <w:sz w:val="28"/>
          <w:szCs w:val="28"/>
        </w:rPr>
        <w:t xml:space="preserve">(издано постановление Администрации города Оренбурга от </w:t>
      </w:r>
      <w:r>
        <w:rPr>
          <w:rFonts w:ascii="Times New Roman" w:hAnsi="Times New Roman" w:cs="Times New Roman"/>
          <w:sz w:val="28"/>
          <w:szCs w:val="28"/>
        </w:rPr>
        <w:t>20.10.2022 № 1878-п);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рамках реализации мероприятий национального проекта «Экология», регионального проекта «Комплексная система обращения с твердыми коммунальными отходами (Оренбургская область)» </w:t>
      </w:r>
      <w:r>
        <w:rPr>
          <w:rFonts w:ascii="Times New Roman" w:eastAsia="SimSun" w:hAnsi="Times New Roman" w:cs="Times New Roman"/>
          <w:sz w:val="28"/>
          <w:szCs w:val="28"/>
        </w:rPr>
        <w:t>между министерством природных ресурсов, экологии и иму</w:t>
      </w:r>
      <w:r>
        <w:rPr>
          <w:rFonts w:ascii="Times New Roman" w:eastAsia="SimSun" w:hAnsi="Times New Roman" w:cs="Times New Roman"/>
          <w:sz w:val="28"/>
          <w:szCs w:val="28"/>
        </w:rPr>
        <w:t xml:space="preserve">щественных отношений Оренбургской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области и Администрацией города Оренбурга 19.05.2022 заключено соглашение                о предоставлении субсидии из областного бюджета № 17.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«город Оренбург» предоставлена субсидия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</w:t>
      </w:r>
      <w:r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по обустройству 194 мест (площадок) накопления ТКО на 2022 год. Управлением осуществлена инвентаризация обустроенных мест (площадок) накопления ТКО в рамках предоставленной субсидии.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соответствии с Методическими рекомендациями по вопр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осам, связанным                с определением нормативов накопления ТКО, утвержденными приказом Министерства строительства и жилищно-коммунального хозяйства Российской Федерации от 28.07.2016 № 524/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2022 году Управлением организованы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проведены замеры накоплений ТКО сезон «зима» с 17 по 23 января 2022 года, сезон «весна» – с 11 по 17 апреля, сезон «лето» - с 11 по 17 июля 2022 года, сезон «осень» – с 26.09.2022 по 02.10.2022. Информация с приложением первичных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сводных сезонных ведомостей по объектам проведенных замеров направлена                 в адрес департамента Оренбургской области по ценам и регулированию тарифов;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основании распоряжения министерства природных ресурсов, экологии               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отношений Оренбургской области от 29.12.2022 № 3045-р                 «О передаче в собственность муниципального образования «город Оренбург» Оренбургской области движимого имущества, являющегося государственной собственностью Оренбургской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бласти» осуществлено принятие контейнеров              для раздельного накопления ТКО в количестве 1241 штуки.</w:t>
      </w:r>
    </w:p>
    <w:p w:rsidR="00D804F9" w:rsidRDefault="00A94F27">
      <w:pPr>
        <w:tabs>
          <w:tab w:val="left" w:pos="184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В</w:t>
      </w:r>
      <w:r>
        <w:rPr>
          <w:rFonts w:ascii="Times New Roman" w:hAnsi="Times New Roman" w:cs="Times New Roman"/>
          <w:sz w:val="28"/>
          <w:szCs w:val="28"/>
        </w:rPr>
        <w:t xml:space="preserve"> части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мероприятий по экологическому просвещению, воспитанию и формированию экологической культуры в области обращения с ТКО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муниципального образования «город Оренбург»: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организовано информирование о раздельном накоплении и сбору ТКО: изготовлены информационные материалы по раздельному накоплению и сбору ТКО на бумажном носителе для размещения в торговых комплексах, </w:t>
      </w:r>
      <w:r>
        <w:rPr>
          <w:rFonts w:ascii="Times New Roman" w:hAnsi="Times New Roman" w:cs="Times New Roman"/>
          <w:sz w:val="28"/>
          <w:szCs w:val="28"/>
        </w:rPr>
        <w:t>подъездах многоквартирных домов, образовательных учреждениях, общественном транспорте, а также информация размещена на официальном Интернет-портале города Оренбурга, в пресс-релизах Администрации города Оренбурга,                              в официальных</w:t>
      </w:r>
      <w:r>
        <w:rPr>
          <w:rFonts w:ascii="Times New Roman" w:hAnsi="Times New Roman" w:cs="Times New Roman"/>
          <w:sz w:val="28"/>
          <w:szCs w:val="28"/>
        </w:rPr>
        <w:t xml:space="preserve"> аккаунтах Администрации города Оренбурга в социальных сетях: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газете «Вечерний Оренбург»,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-канале «Оренбург. Официально»;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изготовлены информационные материалы (баннеры) о раздельном </w:t>
      </w:r>
      <w:r>
        <w:rPr>
          <w:rFonts w:ascii="Times New Roman" w:hAnsi="Times New Roman" w:cs="Times New Roman"/>
          <w:sz w:val="28"/>
          <w:szCs w:val="28"/>
        </w:rPr>
        <w:t>накоплении и сбору ТКО для размещения на местах (площадках) накопления ТКО (в январе 2023 года);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осуществлено создание видеофайла для целей экологического воспитания                  и формирования экологической культуры (в рамках мероприятий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«Охрана окружающей среды в границах муниципального образования «город Оренбург», утвержденной постановлением Администрации города Оренбурга от 01.11.2019 № 3165-п);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существлена подготовка и проведение акции</w:t>
      </w:r>
      <w:r>
        <w:rPr>
          <w:rFonts w:ascii="Times New Roman" w:hAnsi="Times New Roman" w:cs="Times New Roman"/>
          <w:sz w:val="28"/>
          <w:szCs w:val="28"/>
        </w:rPr>
        <w:t xml:space="preserve"> «Сдай ртутную лампу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и батарейку!», фестиваля #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 мероприятия в рамках акции «Дни защиты от экологической опасности – 2022»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В части </w:t>
      </w:r>
      <w:r>
        <w:rPr>
          <w:rFonts w:ascii="Times New Roman" w:hAnsi="Times New Roman" w:cs="Times New Roman"/>
          <w:sz w:val="28"/>
          <w:szCs w:val="28"/>
        </w:rPr>
        <w:t>осуществления муниципального лесного контроля в отношении лесных участков, находящихся в муниципальной собс</w:t>
      </w:r>
      <w:r>
        <w:rPr>
          <w:rFonts w:ascii="Times New Roman" w:hAnsi="Times New Roman" w:cs="Times New Roman"/>
          <w:sz w:val="28"/>
          <w:szCs w:val="28"/>
        </w:rPr>
        <w:t>твенности, Управлением                   в 2022 году проведена работа по реализации механизма осуществления муниципального лесного контроля в отношении лесных участков, находящихся                           в собственности муниципального образования «город</w:t>
      </w:r>
      <w:r>
        <w:rPr>
          <w:rFonts w:ascii="Times New Roman" w:hAnsi="Times New Roman" w:cs="Times New Roman"/>
          <w:sz w:val="28"/>
          <w:szCs w:val="28"/>
        </w:rPr>
        <w:t xml:space="preserve"> Оренбург», а именно: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 проект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решения Оренбургского городского Совета                                 «Об утверждении Положения о муниципальном лесном контроле на территории муниципального образования «город Оренбург», которое утверждено решени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ем Оренбургского городского Совета от 09.06.2022 № 235;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подготовлен перечень объектов муниципального лесного контроля;</w:t>
      </w:r>
    </w:p>
    <w:p w:rsidR="00D804F9" w:rsidRDefault="00A94F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подготовлен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контроля,                     а также информации о мерах от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ветственности, применяемых при нарушении обязательных требований; 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разработано руководство по соблюдению обязательных требований;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разработана форма проверочного листа (списка контрольных вопросов, ответы на которые свидетельствуют о соблюдении или несо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блюдении контролируемым лицом обязательных требований), применяемого                                    при осуществлении Администрацией города Оренбурга муниципального лесного контроля;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разработана программа профилактики рисков причинения вреда (ущерба)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охраняемым законом ценностям при осуществлении муниципального лесного контроля на территории муниципального образования «город Оренбург» на 2023 год;</w:t>
      </w:r>
    </w:p>
    <w:p w:rsidR="00D804F9" w:rsidRDefault="00A94F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в рамках проведения мероприятий по профилактике нарушений обязательных требований в 2022 году проведена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работа по наполнению информацией о муниципальном лесном контроле на сайтах ЕРВК, ЕРКНМ, ГИС ТОР КНД, официальном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Интернет-портале</w:t>
      </w:r>
      <w:proofErr w:type="gramEnd"/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города Оренбурга;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разработаны и проведены общественные обсуждения по проектам: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 Администрации города Оренбур</w:t>
      </w:r>
      <w:r>
        <w:rPr>
          <w:rFonts w:ascii="Times New Roman" w:hAnsi="Times New Roman" w:cs="Times New Roman"/>
          <w:sz w:val="28"/>
          <w:szCs w:val="28"/>
        </w:rPr>
        <w:t>га «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Администрацией города Оренбурга муниципа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льного лесного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. Проверочные листы утверждены постановлением Администрации города Оренбурга от 11.01.2023                    № 12-п; 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распоряжения Администрации города Оренбурга «Об утверждении программы профилактики рисков причинения вреда (уще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рба) охраняемым законом ценностям при осуществлении муниципального лесного контроля на территории муниципального образования «город Оренбург» на 2023 год». Программа профилактики утверждена распоряжением Администрации города Оренбурга                     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от 20.12.2022 № 77-р;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Оренбурга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«проведение муниципальной экспертизы проекта освоения лесов в отношении лесных участков, находящихся в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 муниципального образования «город Оренбург» от 18.03.2022 № 507-п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Оренбурга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«Прием лесных деклараций и отчетов об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лесов от граждан, юридических лиц, осуществляющих использование лесов, находящихся в собственности муниципального образования «город Оренбург» от 05.05.2022 № 873-п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части предоставления муниципальных услуг по проведению муниципальной экспертизы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освоения лесов, находящихся                                        в муниципальной собственности, и приему лесных деклараций и отчетов                              об использовании лесов, находящихся в муниципальной собственности, осуществлено: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едоставление 2 муниципальных услуг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 проведению муниципальной экспертизы проекта освоения лесов в отношении лесных участков, находящихся                    в собственности муниципального образования «город Оренбург»;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2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по приему лесных деклараций;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10 муниципальных услуг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по приему отчетов об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использо-вании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лесов от граждан, юридических лиц, осуществляющих использование лесов, находящихся в собственности муниципального образования «город Оренбург»;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внес</w:t>
      </w: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ение сведений о предоставлении муниципальных услуг на сайте                         ИС «РГУ»;</w:t>
      </w:r>
    </w:p>
    <w:p w:rsidR="00D804F9" w:rsidRDefault="00A94F27">
      <w:pPr>
        <w:spacing w:beforeAutospacing="1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- предоставлена ежемесячная и годовая отчетность о предоставленных муниципальных услугах на сайте ГАС «Управление».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 осуществлению взаимодействия в 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действующим законодательством порядке с органами государственной власти, органами местного самоуправления и иными организациями всех форм собственности,                             с целью участия муниципального образования «город Оренбург» в регион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проекте «Чистая вода», организовано проведение инвентаризации объектов водоснабжения. Необходимые сведения представлены на сайте «Реформа ЖКХ».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1.6. По разработке проектов правовых актов Оренбургского городского Совета, Главы города Оренбурга,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города Оренбурга и документов по вопросам своей компетенции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следующая работа: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Внесены изменения в муниципальную программу «Охрана окружающей среды в границах муниципального образования «город Оренбург», утвержденную постановлением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инистрации города Оренбурга от 01.11.2019 № 3165-п (постановления Администрации города Оренбурга от 01.03.2022 № 349-п,                         от 04.03.2022 № 372-п, от 26.08.2022 № 1587-п, от 11.11.2022 № 2061-п,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27.12.2022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2395-п).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Разработаны постановления Администрации города Оренбурга: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экспертной комиссии по проведению муниципальной экспертизы проекта освоения лесов в отношении лесных участков, находящихся                  в собственности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«город Оренбург» от 11.03.2022                    № 446-п;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административного регламента предоставления муниципальной услуги «проведение муниципальной экспертизы проекта освоения лесов в отношении лесных участков, находящихся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муниципального образования «город Оренбург» от 18.03.2022 № 507-п;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от 11.03.2022 № 446-п» от 01.04.2022 № 602-п;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общественных обсуждений о намечаемой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деятельности, которая подлежит экологической экспертизе,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Оренбурга от 18.03.2022 № 506-п» от 04.04.2022 № 628-п;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Дней защиты от экологической опасности в городе 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бурге в 2022 году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Оренбурга от 26.04.2021 № 818-п» от 07.04.2022 № 632-п;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лесных участков, предоставленных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постоянное (бессрочное) пользование муниципальному казенному учреждению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города Оренбурга для осуществления рекреационной деятельности от 20.04.2022 № 764-п;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расходного обязательства муниципального образования 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Оренбург» от 29.04.2022 № 834-п;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расходного обязательства муниципального образования «город Оренбург» от 29.04.2022 № 835-п;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от 28.12.2016 № 4113-п» от 04.05.2022 № 836-п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«Прием лесных деклараций и отчетов об использовании лесов от граждан, юридических лиц, осуществляющих использование лесов, находящихся в собственности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«город Оренбург»                 от 05.05.2022 № 873-п;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постановление администрации города Оренбурга от 31.01.2017 № 279-п» от 23.05.2022 № 947-п;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плана мероприятий по охране прибрежных защитных полос рек Урал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Сакмара на 2022 год и 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Администрации города Оренбурга от 12.09.2019 № 2555-п»                        от 07.07.2022 № 1282-п;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общественных обсуждений о намечаемой хозяйственной деятельности, которая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длежит экологической экспертизе» от 01.08.2022                          № 1414-п;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лесных участков, находящихся в собственности муниципального образования «город Оренбург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04.08.2022 № 1417-п;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общественных обсуждений о намечаемой хозяйственной деятельности, которая подлежит экологической экспертизе» от 09.08.2022                          № 1459-п;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проведении общественных обсуждений о намечаемой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деятельности, которая подлежит экологической экспертизе» от 20.10.2022                      № 1878-п;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нормативов состава сточных вод для объектов абонентов ООО «Оренбург Водоканал» и о признании утратившим силу постановления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города Оренбурга от 18.08.2020 № 1234-п» (с изменениями                     от 22.12.2022 № 2315-п) от 10.11.2022 № 2056-п.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Разработаны распоряжения: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 от 21.12.2022 № 77-р «Об утверждении программы профилактики рисков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 охраняемым законом ценностям при осуществлении муниципального лесного контроля на территории муниципального образования «город Оренбург» на 2023 год»;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Главы города Оренбурга от 28.12.2022 № 2994-р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«Об утверждении дополнительной части муниципальной программы «Охрана окружающей среды в границах муниципального образования «город Оренбург».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отчетном периоде в Управлении обработана входящая корреспонденция                         в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1172 писем (в 2021 году – 911), в том числе рассмотрено и отработано 355 обращений граждан (в 2021 году – 93 обращения).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вырубкой и высадкой зеленых насаждений, посредством регистрации порубочных билетов и (или) разр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ешений               на пересадку деревьев и кустарников. За отчетный период в Управлении зарегистрировано 635 порубочных билетов (в 2021 г. – 422 порубочных билета).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рамках реализации муниципальной программы «Охрана окружающей среды в границах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«город Оренбург», утвержденной постановлением администрации города Оренбурга от 01.11.2019 № 3165-п, в 2022 году по основному мероприятию: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«Проведение экологических акций и конкурсов» изготовлена сувенирная продукция для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акции «Нашим рекам – чистые берега!» (50 тыс. руб.);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«Проведение дезинсекционных,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 на территории города Оренбурга и сельских населенных пунктов, включенных в состав территории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«город Оренбург» проведены работы по борьбе с личинками комаров в водоемах, по барьерной дератизации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 (1 012,00 тыс. руб.);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«Разработка информационных материалов в области раздельного накопления ТКО для населен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муниципального образования «город Оренбург» </w:t>
      </w:r>
      <w:r>
        <w:rPr>
          <w:rFonts w:ascii="Times New Roman" w:hAnsi="Times New Roman" w:cs="Times New Roman"/>
          <w:sz w:val="28"/>
          <w:szCs w:val="28"/>
        </w:rPr>
        <w:t>изготовлены информационные материалы (баннеры) о раздельном накоплении                  и сбору ТКО для размещения на местах (площадках) накопления ТКО (15 тыс. руб.);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«Разработка и создание видеофайлов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экологического воспитания и формирования экологической культуры» </w:t>
      </w:r>
      <w:r>
        <w:rPr>
          <w:rFonts w:ascii="Times New Roman" w:hAnsi="Times New Roman" w:cs="Times New Roman"/>
          <w:sz w:val="28"/>
          <w:szCs w:val="28"/>
        </w:rPr>
        <w:t>осуществлено создание видеофайла                    для целей экологического воспитания и формирования экологической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(60 тыс. руб.).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объем финансирования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г. – 1237,00 тыс. руб. (освоено –                     1 137,00 тыс. руб.).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решения вопросов, поставленных Оренбургским городским Советом (исполнение протокольного поручения Оренбургского городского Совета от 07.11.2022), проведены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созданию рабочей группы по вопросу содержания мест (площадок) накопления ТКО на территории муниципального образования «город Оренбург», состав которой утвержден распоряжением Администрации города Оренбурга от 24.11.2022 № 71-р.</w:t>
      </w:r>
      <w:proofErr w:type="gramEnd"/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2023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проведение следующих мероприятий: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выездных обследований мест (площадок) накопления ТКО                     на территории муниципального образования «город Оренбург» на предмет соответствия реестру мест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(площадок) накопления ТКО на территории муниципального образования «город Оренбург» (далее – Реестр);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работ по актуализации Реестра в соответствии с проведенной инвентаризацией (в адресной части, фактической площади контейнерной площадки,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ичество контейнеров для ТКО, типа и объема контейнеров, наличия контейнеров РСО, оборудования контейнерной площадки под крупногабаритные отходы, соответствия собственника контейнерных площадок, исключения демонтированных мест (площадок) накопления ТКО);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работ по созданию единой формы для заполнения Реестра;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выездных обследований по выявлению несанкционированных мест размещения ТКО;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еженедельных объездов мест (площадок) накопления ТКО                 на предмет своев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ременного вывоза отходов и соответствия прилегающих территорий санитарным нормам с направлением информации, при выявлении несоответствий, в администрации Северного и Южного округов города Оренбурга,                а также региональному оператору для 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мер;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осуществление мероприятий по охране водных объектов, находящихся                          в муниципальной собственности, предотвращению их загрязнения, засорения                   и истощения вод, а также меры по ликвидации последствий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явлений.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организация работы по определению схемы размещения мест (площадок) накопления ТКО;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проведение экологических уроков с содержанием информационного материала раздельного накопления ТКО для учащихся общеобразовательных организаций города 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разработка информационных материалов в области раздельного накопления ТКО для населения муниципального образования «город Оренбург»;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проведение инвентаризации территорий, входящих в состав городского лесничества;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проведение инвентаризации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парков и скверов города Оренбурга после схода снежного покрова;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обследование состояния лесов и зеленых насаждений, произрастающих на территории муниципального образования «город Оренбург»;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 выявление территорий, потенциально пригодных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лесовоостано-вления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подготовка и разработка лесохозяйственного регламента (внесение актуальной информации после проведения инвентаризации лесных насаждений);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создание школьных лесничеств на базе школ города Оренбурга;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организация посадки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саженцев в парках, скверах и на территории городского лесничества (тополь, рябина, каштан, клен, липа и другие ландшафтные культуры) с привлечением школьных учреждений, природоохранных                                                 и лесохозяйственных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анизаций, юридических и физических лиц;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 проведение лесопатологических обследований с целью оценки санитарного и лесопатологического состояния лесных насаждений                                  для дальнейшего проведения санитарно-оздоровительных меропр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 (выборочная и сплошная санитарные рубки, уборка захламленности, уборка аварийных деревьев);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 осуществление муниципального лесного контроля;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 проведение профилактических визитов к юридическим лицам, физическим лицам, индивидуальным предпринимате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лям по вопросам соблюдения требований лесного законодательства;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 разработка программ профилактики на 2024 год;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21) актуализация нормативно-правовой базы о муниципальном лесном контроле;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 составление и направление предостережений о недопустимости нару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обязательных требований природоохранного законодательства;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 формирование плана проведения плановых контрольных мероприятий               на 2024 год;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24) ведение учета объектов муниципального лесного контроля                                    с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спользованием информационных систем;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25) предоставление информации о лесах в государственный лесной реестр;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26) организация проведения мероприятий по предупреждению распространения вредных организмов на лесных участках, возникновения лесных пожаров;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по комиссионному обследованию зеленых насаждений на территории МО «город Оренбург».</w:t>
      </w: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2023 году Управлением запланировано проведение общегородских экологических акций, перечисленных в таблице 1.</w:t>
      </w:r>
    </w:p>
    <w:p w:rsidR="00D804F9" w:rsidRDefault="00D804F9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4F9" w:rsidRDefault="00A94F27">
      <w:pPr>
        <w:shd w:val="clear" w:color="auto" w:fill="FFFFFF"/>
        <w:spacing w:beforeAutospacing="1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Экологические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планируемые к проведению управлением охраны окружающей среды администрации города Оренбурга в 2023 году.</w:t>
      </w:r>
    </w:p>
    <w:tbl>
      <w:tblPr>
        <w:tblStyle w:val="a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5529"/>
      </w:tblGrid>
      <w:tr w:rsidR="00D804F9">
        <w:tc>
          <w:tcPr>
            <w:tcW w:w="566" w:type="dxa"/>
            <w:vAlign w:val="center"/>
          </w:tcPr>
          <w:p w:rsidR="00D804F9" w:rsidRDefault="00A94F2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  <w:vAlign w:val="center"/>
          </w:tcPr>
          <w:p w:rsidR="00D804F9" w:rsidRDefault="00A94F2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акции</w:t>
            </w:r>
          </w:p>
        </w:tc>
        <w:tc>
          <w:tcPr>
            <w:tcW w:w="5529" w:type="dxa"/>
            <w:vAlign w:val="center"/>
          </w:tcPr>
          <w:p w:rsidR="00D804F9" w:rsidRDefault="00A94F2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проводимые</w:t>
            </w:r>
          </w:p>
          <w:p w:rsidR="00D804F9" w:rsidRDefault="00A94F2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рамках акций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«Нашим рекам – чистые берега!»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Очистка прибрежных защитных полос рек Урал и Сакмара от 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товых отходов.</w:t>
            </w:r>
          </w:p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информирования населения              о недопустимости складирования отходов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берегах рек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70" w:type="dxa"/>
          </w:tcPr>
          <w:p w:rsidR="00D804F9" w:rsidRDefault="00A94F27">
            <w:pPr>
              <w:shd w:val="clear" w:color="auto" w:fill="FFFFFF"/>
              <w:spacing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«Семейное дерево»</w:t>
            </w:r>
          </w:p>
          <w:p w:rsidR="00D804F9" w:rsidRDefault="00D804F9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Посадка семейного дерева. Цель акции привлечение детей и родителей к посадке деревьев, как способу улучшения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экологической обстановки в нашем городе, обучение детей трудовым умениям                             и навыкам, воспитание у детей и взрослых экологической культуры, бережного отношения к высаженным деревьям. Участники граждане города Оренбурга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«Дни защиты от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опасности»</w:t>
            </w:r>
          </w:p>
        </w:tc>
        <w:tc>
          <w:tcPr>
            <w:tcW w:w="5529" w:type="dxa"/>
          </w:tcPr>
          <w:p w:rsidR="00D804F9" w:rsidRDefault="00A94F27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совместно с муниципальным автономным учреждением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дополни-тельного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образования «Детский эколого-биологический центр» экологических мероприятий для учащихся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общеобразо-вательных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организаций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D804F9" w:rsidRDefault="00A94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«Раздельный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 отходов»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раздельного сбора отходов                               на территории дошкольных и школьных учреждений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D804F9" w:rsidRDefault="00A94F27">
            <w:pPr>
              <w:shd w:val="clear" w:color="auto" w:fill="FFFFFF"/>
              <w:spacing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«Сохраним муравейники»</w:t>
            </w:r>
          </w:p>
          <w:p w:rsidR="00D804F9" w:rsidRDefault="00D804F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Облагораживание и обустройство муравейников в лесах. Цель акции познакомить со значением муравьев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 леса и способами охраны муравейников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804F9" w:rsidRDefault="00D804F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970" w:type="dxa"/>
          </w:tcPr>
          <w:p w:rsidR="00D804F9" w:rsidRDefault="00A94F27">
            <w:pPr>
              <w:shd w:val="clear" w:color="auto" w:fill="FFFFFF"/>
              <w:spacing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«Очистим лес от мусора»</w:t>
            </w:r>
          </w:p>
          <w:p w:rsidR="00D804F9" w:rsidRDefault="00D804F9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отходов. Цель акции экологическое воспитание школьников, формирование активной позиции в области охраны окружающей среды, приобщение школьников к решению экологических проблем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города. Участники акции школьники и сотрудники управления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D804F9" w:rsidRDefault="00A94F27">
            <w:pPr>
              <w:shd w:val="clear" w:color="auto" w:fill="FFFFFF"/>
              <w:spacing w:beforeAutospacing="1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орнитолог»</w:t>
            </w:r>
          </w:p>
          <w:p w:rsidR="00D804F9" w:rsidRDefault="00D804F9">
            <w:pPr>
              <w:shd w:val="clear" w:color="auto" w:fill="FFFFFF"/>
              <w:spacing w:beforeAutospacing="1"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и развешивание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сквореч-ников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птиц. Цель акции привлечь внимание детей и взрослых к зимующим птицам, чтобы облегчить для них период зимовки, а также повысить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экологической активности населения. Данная акция приурочена к празднику 12 ноября – Синичкин день. Участники акции: учащиеся школ, детских организаций, природоохранных и лесохозяйственных организаций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«Вторая жизнь технике»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мест сбора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устаревшей                       и утратившей потребительские свойства                   техники от населения с последующей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утилизацией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«Эко-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буккроссинг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мест сбора книг, где горожане будут оставлять или обмениваться книгами. Прочитав книгу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они оставляют                            ее следующим читателям. Таким образом, не нужно покупать книги. Это позволяет сохранить деревья и другие ресурсы, которые используются для производства печатной продукции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«Чистые игры»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Командные соревнования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очистке природных территорий от мусора                                и разделению отходов. Увлекательная игра                 с призами, где участники ищут артефакты, решают экологические загадки, собирают                    и разделяют мусор, получая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это баллы</w:t>
            </w:r>
          </w:p>
        </w:tc>
      </w:tr>
      <w:tr w:rsidR="00D804F9">
        <w:tc>
          <w:tcPr>
            <w:tcW w:w="566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D804F9" w:rsidRDefault="00A94F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конкурс-выставка детского творчества «Вторая жизнь упаковки-2023»</w:t>
            </w:r>
          </w:p>
        </w:tc>
        <w:tc>
          <w:tcPr>
            <w:tcW w:w="5529" w:type="dxa"/>
          </w:tcPr>
          <w:p w:rsidR="00D804F9" w:rsidRDefault="00A94F2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выставки поделок                                      из вторичных ресурсов</w:t>
            </w:r>
          </w:p>
          <w:p w:rsidR="00D804F9" w:rsidRDefault="00D804F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4F9" w:rsidRDefault="00D804F9" w:rsidP="0056186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804F9">
      <w:headerReference w:type="default" r:id="rId7"/>
      <w:pgSz w:w="11906" w:h="16838"/>
      <w:pgMar w:top="765" w:right="707" w:bottom="851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27" w:rsidRDefault="00A94F27">
      <w:pPr>
        <w:spacing w:after="0" w:line="240" w:lineRule="auto"/>
      </w:pPr>
      <w:r>
        <w:separator/>
      </w:r>
    </w:p>
  </w:endnote>
  <w:endnote w:type="continuationSeparator" w:id="0">
    <w:p w:rsidR="00A94F27" w:rsidRDefault="00A9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27" w:rsidRDefault="00A94F27">
      <w:pPr>
        <w:spacing w:after="0" w:line="240" w:lineRule="auto"/>
      </w:pPr>
      <w:r>
        <w:separator/>
      </w:r>
    </w:p>
  </w:footnote>
  <w:footnote w:type="continuationSeparator" w:id="0">
    <w:p w:rsidR="00A94F27" w:rsidRDefault="00A9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984081"/>
      <w:docPartObj>
        <w:docPartGallery w:val="Page Numbers (Top of Page)"/>
        <w:docPartUnique/>
      </w:docPartObj>
    </w:sdtPr>
    <w:sdtEndPr/>
    <w:sdtContent>
      <w:p w:rsidR="00D804F9" w:rsidRDefault="00A94F2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561866">
          <w:rPr>
            <w:rFonts w:ascii="Times New Roman" w:hAnsi="Times New Roman" w:cs="Times New Roman"/>
            <w:noProof/>
            <w:sz w:val="24"/>
          </w:rPr>
          <w:t>9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804F9" w:rsidRDefault="00D804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F9"/>
    <w:rsid w:val="00561866"/>
    <w:rsid w:val="00A94F27"/>
    <w:rsid w:val="00D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943C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9330E"/>
  </w:style>
  <w:style w:type="character" w:customStyle="1" w:styleId="a7">
    <w:name w:val="Нижний колонтитул Знак"/>
    <w:basedOn w:val="a0"/>
    <w:link w:val="a8"/>
    <w:uiPriority w:val="99"/>
    <w:qFormat/>
    <w:rsid w:val="0009330E"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3943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A53E4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F4A3D"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d">
    <w:name w:val="Table Grid"/>
    <w:basedOn w:val="a1"/>
    <w:uiPriority w:val="59"/>
    <w:rsid w:val="00EB6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943C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9330E"/>
  </w:style>
  <w:style w:type="character" w:customStyle="1" w:styleId="a7">
    <w:name w:val="Нижний колонтитул Знак"/>
    <w:basedOn w:val="a0"/>
    <w:link w:val="a8"/>
    <w:uiPriority w:val="99"/>
    <w:qFormat/>
    <w:rsid w:val="0009330E"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3943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A53E4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09330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F4A3D"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d">
    <w:name w:val="Table Grid"/>
    <w:basedOn w:val="a1"/>
    <w:uiPriority w:val="59"/>
    <w:rsid w:val="00EB6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Корнилова Юлия Вячеславовна</cp:lastModifiedBy>
  <cp:revision>2</cp:revision>
  <cp:lastPrinted>2023-02-28T09:07:00Z</cp:lastPrinted>
  <dcterms:created xsi:type="dcterms:W3CDTF">2024-03-21T09:27:00Z</dcterms:created>
  <dcterms:modified xsi:type="dcterms:W3CDTF">2024-03-21T09:27:00Z</dcterms:modified>
  <dc:language>ru-RU</dc:language>
</cp:coreProperties>
</file>