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797" w:rsidRDefault="00D919D8">
      <w:pPr>
        <w:pStyle w:val="20"/>
        <w:spacing w:after="0" w:line="276" w:lineRule="auto"/>
        <w:jc w:val="center"/>
        <w:rPr>
          <w:sz w:val="28"/>
          <w:szCs w:val="28"/>
        </w:rPr>
      </w:pPr>
      <w:bookmarkStart w:id="0" w:name="__UnoMark__1226_3698656815"/>
      <w:bookmarkEnd w:id="0"/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1080135</wp:posOffset>
            </wp:positionH>
            <wp:positionV relativeFrom="page">
              <wp:posOffset>8712200</wp:posOffset>
            </wp:positionV>
            <wp:extent cx="2915920" cy="21590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ЗАКЛЮЧЕНИЕ</w:t>
      </w:r>
    </w:p>
    <w:p w:rsidR="00B33797" w:rsidRDefault="00D919D8">
      <w:pPr>
        <w:pStyle w:val="20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оценке регулирующего воздействия </w:t>
      </w:r>
    </w:p>
    <w:p w:rsidR="00B33797" w:rsidRDefault="00B33797">
      <w:pPr>
        <w:pStyle w:val="20"/>
        <w:spacing w:after="0" w:line="276" w:lineRule="auto"/>
        <w:jc w:val="center"/>
        <w:rPr>
          <w:sz w:val="28"/>
          <w:szCs w:val="28"/>
        </w:rPr>
      </w:pPr>
    </w:p>
    <w:p w:rsidR="00B33797" w:rsidRDefault="00D919D8">
      <w:pPr>
        <w:spacing w:line="276" w:lineRule="auto"/>
        <w:ind w:right="601"/>
        <w:jc w:val="center"/>
        <w:rPr>
          <w:sz w:val="28"/>
        </w:rPr>
      </w:pPr>
      <w:r>
        <w:rPr>
          <w:sz w:val="28"/>
        </w:rPr>
        <w:t xml:space="preserve">Комитет потребительского рынка, услуг и развития </w:t>
      </w:r>
      <w:r w:rsidR="002836B3">
        <w:rPr>
          <w:sz w:val="28"/>
        </w:rPr>
        <w:t>предпринимательства</w:t>
      </w:r>
      <w:r>
        <w:rPr>
          <w:sz w:val="28"/>
        </w:rPr>
        <w:t xml:space="preserve"> администрации города Оренбурга</w:t>
      </w:r>
    </w:p>
    <w:p w:rsidR="00B33797" w:rsidRDefault="00B33797">
      <w:pPr>
        <w:pStyle w:val="20"/>
        <w:pBdr>
          <w:bottom w:val="single" w:sz="4" w:space="1" w:color="00000A"/>
        </w:pBdr>
        <w:spacing w:after="0" w:line="276" w:lineRule="auto"/>
        <w:jc w:val="both"/>
        <w:rPr>
          <w:sz w:val="2"/>
          <w:szCs w:val="28"/>
        </w:rPr>
      </w:pPr>
    </w:p>
    <w:p w:rsidR="00B33797" w:rsidRDefault="00D919D8">
      <w:pPr>
        <w:pStyle w:val="20"/>
        <w:spacing w:after="0" w:line="276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18"/>
          <w:szCs w:val="18"/>
        </w:rPr>
        <w:t xml:space="preserve"> (разработчик - отраслевой (функциональный) или территориальный орган администрации города Оренбурга)</w:t>
      </w:r>
    </w:p>
    <w:p w:rsidR="00B33797" w:rsidRDefault="00B33797">
      <w:pPr>
        <w:pStyle w:val="20"/>
        <w:tabs>
          <w:tab w:val="left" w:pos="1134"/>
        </w:tabs>
        <w:spacing w:after="0" w:line="276" w:lineRule="auto"/>
        <w:ind w:left="851"/>
        <w:jc w:val="both"/>
        <w:rPr>
          <w:sz w:val="28"/>
          <w:szCs w:val="28"/>
        </w:rPr>
      </w:pPr>
    </w:p>
    <w:p w:rsidR="00B33797" w:rsidRDefault="00D919D8">
      <w:pPr>
        <w:pStyle w:val="20"/>
        <w:numPr>
          <w:ilvl w:val="0"/>
          <w:numId w:val="1"/>
        </w:numPr>
        <w:tabs>
          <w:tab w:val="left" w:pos="0"/>
          <w:tab w:val="left" w:pos="851"/>
        </w:tabs>
        <w:spacing w:after="0" w:line="276" w:lineRule="auto"/>
        <w:ind w:left="0" w:right="-1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нормативного правового акта (далее – проект НПА): проект решения Оренбургского городского Совета ««О внесении изменений в решение Оренбургского городского Совета от 28.04.2014 № 795» («Об утверждении Правил установки и эксплуатации рекламных к</w:t>
      </w:r>
      <w:r>
        <w:rPr>
          <w:sz w:val="28"/>
          <w:szCs w:val="28"/>
        </w:rPr>
        <w:t>онструкций на территории муниципального образования «город Оренбург»).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(основания) для принятия проекта НПА: изменение функционального органа Администрации города Оренбурга, уполномоченного на разработку (внесение изменений) и согласование схемы разме</w:t>
      </w:r>
      <w:r>
        <w:rPr>
          <w:sz w:val="28"/>
          <w:szCs w:val="28"/>
        </w:rPr>
        <w:t xml:space="preserve">щения рекламных конструкций </w:t>
      </w:r>
      <w:r>
        <w:rPr>
          <w:sz w:val="28"/>
          <w:szCs w:val="28"/>
        </w:rPr>
        <w:br/>
        <w:t xml:space="preserve">на земельных участках независимо от форм собственности, а также на зданиях </w:t>
      </w:r>
      <w:r>
        <w:rPr>
          <w:sz w:val="28"/>
          <w:szCs w:val="28"/>
        </w:rPr>
        <w:br/>
        <w:t>или ином недвижимом имуществе, находящихся в собственности Оренбургской области или муниципальной собственности на территории МО «город Оренбург; конкр</w:t>
      </w:r>
      <w:r>
        <w:rPr>
          <w:sz w:val="28"/>
          <w:szCs w:val="28"/>
        </w:rPr>
        <w:t>етизация порядка рассмотрения органом местного самоуправления заявлений граждан, юридических лиц и индивидуальных предпринимателей о внесении изменений в схему размещения рекламных конструкций.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консультации с учетом средней степени регулирующего </w:t>
      </w:r>
      <w:r>
        <w:rPr>
          <w:sz w:val="28"/>
          <w:szCs w:val="28"/>
        </w:rPr>
        <w:t xml:space="preserve">воздействия проведены в период с 07.04.2022 по 20.04.2022 в форме размещения </w:t>
      </w:r>
      <w:r>
        <w:rPr>
          <w:sz w:val="28"/>
          <w:szCs w:val="28"/>
        </w:rPr>
        <w:br/>
        <w:t>на официальном Интернет-портале города Оренбурга уведомления о проведении публичных консультаций, проекта правового акта, пояснительной записки, опросного листа для участников пу</w:t>
      </w:r>
      <w:r>
        <w:rPr>
          <w:sz w:val="28"/>
          <w:szCs w:val="28"/>
        </w:rPr>
        <w:t xml:space="preserve">бличных консультаций и нормативного правового акта, в который вносятся изменения, в действующей редакции.  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0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публичных консультаций разработчику поступили опросные листы: </w:t>
      </w:r>
    </w:p>
    <w:p w:rsidR="00B33797" w:rsidRDefault="00D919D8">
      <w:pPr>
        <w:pStyle w:val="20"/>
        <w:tabs>
          <w:tab w:val="left" w:pos="0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положительными отзывами от Оренбургского союза промышленников и предпринимателей, гильдии рекламистов при Торгово-промышленной палате (ТПП) Оренбургской области, ООО «Сити-Ритейл»;  </w:t>
      </w:r>
    </w:p>
    <w:p w:rsidR="00B33797" w:rsidRDefault="00D919D8">
      <w:pPr>
        <w:pStyle w:val="20"/>
        <w:tabs>
          <w:tab w:val="left" w:pos="0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предложениями от ООО «</w:t>
      </w:r>
      <w:proofErr w:type="spellStart"/>
      <w:r>
        <w:rPr>
          <w:sz w:val="28"/>
          <w:szCs w:val="28"/>
        </w:rPr>
        <w:t>АльфаСтрой</w:t>
      </w:r>
      <w:proofErr w:type="spellEnd"/>
      <w:r>
        <w:rPr>
          <w:sz w:val="28"/>
          <w:szCs w:val="28"/>
        </w:rPr>
        <w:t>» об установлении исключения в ос</w:t>
      </w:r>
      <w:r>
        <w:rPr>
          <w:sz w:val="28"/>
          <w:szCs w:val="28"/>
        </w:rPr>
        <w:t>нованиях, по которым может быть принято решение о во внесении изменений в схему размещения рекламных конструкций (далее – Схема) («…наличие в радиусе 150 метров от предполагаемого места размещения отдельно стоящей рекламной конструкции, указанного в Заявле</w:t>
      </w:r>
      <w:r>
        <w:rPr>
          <w:sz w:val="28"/>
          <w:szCs w:val="28"/>
        </w:rPr>
        <w:t>нии, в схеме размещения рекламных конструкций места установки рекламной конструкции того же типа и вида, за исключением случая если предполагаемое место установки рекламной конструкции отделено от уже предусмотренного схемой места установки рекламной конст</w:t>
      </w:r>
      <w:r>
        <w:rPr>
          <w:sz w:val="28"/>
          <w:szCs w:val="28"/>
        </w:rPr>
        <w:t xml:space="preserve">рукции того же </w:t>
      </w:r>
      <w:r>
        <w:rPr>
          <w:sz w:val="28"/>
          <w:szCs w:val="28"/>
        </w:rPr>
        <w:lastRenderedPageBreak/>
        <w:t>типа и вида проезжей частью дороги») – учтено, о дополнении  раздела 2 приложения № 1 проекта НПА следующим пунктом: «В отношении мест установки рекламных конструкций, включенных в Схему, владелец установленной на таком месте рекламной конст</w:t>
      </w:r>
      <w:r>
        <w:rPr>
          <w:sz w:val="28"/>
          <w:szCs w:val="28"/>
        </w:rPr>
        <w:t>рукции, самостоятельно определяет используемую технологию демонстрации рекламы, о чем письменно уведомляет Комитет. Изменение технологии демонстрации рекламы без изменения типа и вида рекламной конструкции, не влечет необходимость внесения изменений в Схем</w:t>
      </w:r>
      <w:r>
        <w:rPr>
          <w:sz w:val="28"/>
          <w:szCs w:val="28"/>
        </w:rPr>
        <w:t xml:space="preserve">у» – учтено; </w:t>
      </w:r>
    </w:p>
    <w:p w:rsidR="00B33797" w:rsidRDefault="00D919D8">
      <w:pPr>
        <w:pStyle w:val="20"/>
        <w:tabs>
          <w:tab w:val="left" w:pos="0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Председателя Оренбургского городского Совета с замечаниями о наличии </w:t>
      </w:r>
      <w:proofErr w:type="spellStart"/>
      <w:r>
        <w:rPr>
          <w:sz w:val="28"/>
          <w:szCs w:val="28"/>
        </w:rPr>
        <w:t>коррупциогенного</w:t>
      </w:r>
      <w:proofErr w:type="spellEnd"/>
      <w:r>
        <w:rPr>
          <w:sz w:val="28"/>
          <w:szCs w:val="28"/>
        </w:rPr>
        <w:t xml:space="preserve"> фактора в вопросе включения </w:t>
      </w:r>
      <w:r>
        <w:rPr>
          <w:sz w:val="28"/>
          <w:szCs w:val="28"/>
        </w:rPr>
        <w:br/>
        <w:t>в Схему рекламных конструкций на земельных участках, находящихся в муниципальной собственности (с заявлением могут обратит</w:t>
      </w:r>
      <w:r>
        <w:rPr>
          <w:sz w:val="28"/>
          <w:szCs w:val="28"/>
        </w:rPr>
        <w:t xml:space="preserve">ься только собственники земельных участков и иных объектов недвижимости, что является исключительной прерогативой уполномоченного органа  (Комитета потребительского рынка, услуг и развития предпринимательства) – отклонено на основании ст. 209 Гражданского </w:t>
      </w:r>
      <w:r>
        <w:rPr>
          <w:sz w:val="28"/>
          <w:szCs w:val="28"/>
        </w:rPr>
        <w:t>кодекса, статьи 51 федерального закона от 06.10.2003 № 131-ФЗ, о полномочиях Оренбургского городского Совета и Администрации города Оренбурга по установлении формы проведения торгов (аукцион или конкурс) – отклонено на основании пункта 5.1 статьи 19 федера</w:t>
      </w:r>
      <w:r>
        <w:rPr>
          <w:sz w:val="28"/>
          <w:szCs w:val="28"/>
        </w:rPr>
        <w:t xml:space="preserve">льного закона от 13.03.2006 № 38-ФЗ; </w:t>
      </w:r>
    </w:p>
    <w:p w:rsidR="00B33797" w:rsidRDefault="00D919D8">
      <w:pPr>
        <w:pStyle w:val="20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 депутата Оренбургского городского Совета Давыдова В.А. с замечаниями о снижении конкурентоспособности лиц, решивших войти в сферу рекламной деятельности на территории г. Оренбурга – замечание необоснованно и откло</w:t>
      </w:r>
      <w:r>
        <w:rPr>
          <w:sz w:val="28"/>
          <w:szCs w:val="28"/>
        </w:rPr>
        <w:t xml:space="preserve">нено, о наличии </w:t>
      </w:r>
      <w:proofErr w:type="spellStart"/>
      <w:r>
        <w:rPr>
          <w:sz w:val="28"/>
          <w:szCs w:val="28"/>
        </w:rPr>
        <w:t>коррупциогенного</w:t>
      </w:r>
      <w:proofErr w:type="spellEnd"/>
      <w:r>
        <w:rPr>
          <w:sz w:val="28"/>
          <w:szCs w:val="28"/>
        </w:rPr>
        <w:t xml:space="preserve"> фактора в вопросе утверждения схемы размещения рекламных конструкций на территории муниципального образования «город Оренбург» («Схема размещения рекламных конструкций должна утверждаться комиссией по вопросам размещения ре</w:t>
      </w:r>
      <w:r>
        <w:rPr>
          <w:sz w:val="28"/>
          <w:szCs w:val="28"/>
        </w:rPr>
        <w:t>кламных конструкций на территории муниципального образования «город Оренбург». В ином случае, при единоличном утверждении схемы рекламных конструкций Комитетом, возникают предпосылки коррупционной составляющей при принятии решений, по данным вопросам) – за</w:t>
      </w:r>
      <w:r>
        <w:rPr>
          <w:sz w:val="28"/>
          <w:szCs w:val="28"/>
        </w:rPr>
        <w:t>мечание необоснованно и отклонено, о нарушении прав хозяйствующих субъектов  на осуществление предпринимательской деятельности («Подпунктами 2.5, 2.6 проекта, определено, что Заявление о включении в схему рекламных конструкций может подавать собственник об</w:t>
      </w:r>
      <w:r>
        <w:rPr>
          <w:sz w:val="28"/>
          <w:szCs w:val="28"/>
        </w:rPr>
        <w:t>ъекта, а следовательно запрещено подавать Заявление юридическим лицам, индивидуальным предпринимателям и физическим лицам, не являющихся собственниками объектов, чем нарушается право данных хозяйствующих субъектов на осуществление предпринимательской деяте</w:t>
      </w:r>
      <w:r>
        <w:rPr>
          <w:sz w:val="28"/>
          <w:szCs w:val="28"/>
        </w:rPr>
        <w:t>льности») – отклонено на основании ст. 209 Гражданского кодекса, статьи 51 федерального закона от 06.10.2003 № 131-ФЗ, об ограничении прав лиц при отказе в рассмотрении заявления о внесении изменений в схему размещения рекламных конструкций, поданного не с</w:t>
      </w:r>
      <w:r>
        <w:rPr>
          <w:sz w:val="28"/>
          <w:szCs w:val="28"/>
        </w:rPr>
        <w:t xml:space="preserve">обственником объекта – отклонено на основании ст. 209 Гражданского кодекса, статьи 51 федерального закона от 06.10.2003 № 131-ФЗ, о </w:t>
      </w:r>
      <w:r>
        <w:rPr>
          <w:sz w:val="28"/>
          <w:szCs w:val="28"/>
        </w:rPr>
        <w:lastRenderedPageBreak/>
        <w:t xml:space="preserve">необоснованности вводимых ограничений общего количества мест установки рекламных конструкций – замечание отклонено, так как </w:t>
      </w:r>
      <w:r>
        <w:rPr>
          <w:sz w:val="28"/>
          <w:szCs w:val="28"/>
        </w:rPr>
        <w:t>предложенная редакция п. 2.15 обеспечивает раскрытие информации потенциальным участникам торгов об общем количестве рекламных конструкций, предполагаемых к установке и стабильность данного количества после проведения торгов с целью достижения участниками т</w:t>
      </w:r>
      <w:r>
        <w:rPr>
          <w:sz w:val="28"/>
          <w:szCs w:val="28"/>
        </w:rPr>
        <w:t>оргов расчётных показателей своей деятельности, исходя из информации, раскрытой до проведения торгов, о порядке изменения условий договоров на установку и эксплуатацию рекламных конструкций, заключенных по результатам торгов – замечание не обоснованно и от</w:t>
      </w:r>
      <w:r>
        <w:rPr>
          <w:sz w:val="28"/>
          <w:szCs w:val="28"/>
        </w:rPr>
        <w:t>клонено;</w:t>
      </w:r>
    </w:p>
    <w:p w:rsidR="00B33797" w:rsidRDefault="00D919D8">
      <w:pPr>
        <w:pStyle w:val="20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- от ИП </w:t>
      </w:r>
      <w:proofErr w:type="spellStart"/>
      <w:r>
        <w:rPr>
          <w:color w:val="000000"/>
          <w:sz w:val="28"/>
        </w:rPr>
        <w:t>Шулягина</w:t>
      </w:r>
      <w:proofErr w:type="spellEnd"/>
      <w:r>
        <w:rPr>
          <w:color w:val="000000"/>
          <w:sz w:val="28"/>
        </w:rPr>
        <w:t xml:space="preserve"> Анна Юрьевна с замечаниями об усложнении получения разрешений на размещение рекламных конструкций в результате передачи полномочий комитету потребительского рынка, услуг и развития предпринимательства – </w:t>
      </w:r>
      <w:r>
        <w:rPr>
          <w:sz w:val="28"/>
          <w:szCs w:val="28"/>
        </w:rPr>
        <w:t xml:space="preserve">замечание не обоснованно и </w:t>
      </w:r>
      <w:r>
        <w:rPr>
          <w:sz w:val="28"/>
          <w:szCs w:val="28"/>
        </w:rPr>
        <w:t>отклонено</w:t>
      </w:r>
      <w:r>
        <w:rPr>
          <w:color w:val="000000"/>
          <w:sz w:val="28"/>
        </w:rPr>
        <w:t xml:space="preserve">, о снижение конкуренции на рынке рекламной деятельности, а следовательно его монополизации – </w:t>
      </w:r>
      <w:r>
        <w:rPr>
          <w:sz w:val="28"/>
          <w:szCs w:val="28"/>
        </w:rPr>
        <w:t>замечание не обоснованно и отклонено</w:t>
      </w:r>
      <w:r>
        <w:rPr>
          <w:color w:val="000000"/>
          <w:sz w:val="28"/>
        </w:rPr>
        <w:t>, с предложением о расширении емкости рынка рекламной деятельности, для развития конкуренции и привлечению дополнител</w:t>
      </w:r>
      <w:r>
        <w:rPr>
          <w:color w:val="000000"/>
          <w:sz w:val="28"/>
        </w:rPr>
        <w:t>ьных доходов в бюджет города Оренбурга – предложение необоснованно и отклонено;</w:t>
      </w:r>
    </w:p>
    <w:p w:rsidR="00B33797" w:rsidRDefault="00D919D8">
      <w:pPr>
        <w:pStyle w:val="20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>- от Тучкова Игоря Владимировича с замечаниями о необоснованности передачи полномочий комитету потребительского рынка, услуг и развития предпринимательства – отклонено на основ</w:t>
      </w:r>
      <w:r>
        <w:rPr>
          <w:color w:val="000000"/>
          <w:sz w:val="28"/>
        </w:rPr>
        <w:t>ании пунктов 1.1, 2.21 решения Оренбургского городского Совета от 28.10.2021 № 157, о единоличном принятии решений комитетом потребительского рынка, услуг и развития предпринимательства – отклонено на основании решения Оренбургского городского Совета от 28</w:t>
      </w:r>
      <w:r>
        <w:rPr>
          <w:color w:val="000000"/>
          <w:sz w:val="28"/>
        </w:rPr>
        <w:t>.10.2021 № 157,  об ограничении субъектов предпринимательской деятельности, вновь входящих на рынок рекламной деятельности по отношению к субъектам, уже работающим в указанной сфере – замечание необоснованно и отклонено, о недопустимости предоставления пра</w:t>
      </w:r>
      <w:r>
        <w:rPr>
          <w:color w:val="000000"/>
          <w:sz w:val="28"/>
        </w:rPr>
        <w:t xml:space="preserve">ва на внесение изменений в договоры, заключенные по результатам торгов комитету потребительского рынка, услуг и развития предпринимательства – замечание необоснованно и отклонено, о нарушении прав третьих лиц, в части подачи заявления о внесении изменений </w:t>
      </w:r>
      <w:r>
        <w:rPr>
          <w:color w:val="000000"/>
          <w:sz w:val="28"/>
        </w:rPr>
        <w:t xml:space="preserve">в схему размещения рекламных конструкций только собственниками земельных участков – замечание необоснованно и отклонено, об ограничении количества мест установки рекламных конструкций на территории муниципального образования «город Оренбург» – </w:t>
      </w:r>
      <w:r>
        <w:rPr>
          <w:sz w:val="28"/>
          <w:szCs w:val="28"/>
        </w:rPr>
        <w:t>замечание от</w:t>
      </w:r>
      <w:r>
        <w:rPr>
          <w:sz w:val="28"/>
          <w:szCs w:val="28"/>
        </w:rPr>
        <w:t>клонено, так как предложенная редакция п. 2.15 обеспечивает раскрытие информации потенциальным участникам торгов об общем количестве рекламных конструкций, предполагаемых к установке и стабильность данного количества после проведения торгов с целью достиже</w:t>
      </w:r>
      <w:r>
        <w:rPr>
          <w:sz w:val="28"/>
          <w:szCs w:val="28"/>
        </w:rPr>
        <w:t xml:space="preserve">ния участниками торгов расчётных показателей своей деятельности, исходя из информации, </w:t>
      </w:r>
      <w:r>
        <w:rPr>
          <w:sz w:val="28"/>
          <w:szCs w:val="28"/>
        </w:rPr>
        <w:lastRenderedPageBreak/>
        <w:t>раскрытой до проведения торгов</w:t>
      </w:r>
      <w:r>
        <w:rPr>
          <w:color w:val="000000"/>
          <w:sz w:val="28"/>
        </w:rPr>
        <w:t xml:space="preserve">,  об условии заключения договоров исключительно на основании торгов – </w:t>
      </w:r>
      <w:r>
        <w:rPr>
          <w:sz w:val="28"/>
        </w:rPr>
        <w:t xml:space="preserve">замечание необоснованно и отклонено, </w:t>
      </w:r>
      <w:r>
        <w:rPr>
          <w:color w:val="000000"/>
          <w:sz w:val="28"/>
        </w:rPr>
        <w:t xml:space="preserve">о наделении единоличным правом </w:t>
      </w:r>
      <w:r>
        <w:rPr>
          <w:color w:val="000000"/>
          <w:sz w:val="28"/>
        </w:rPr>
        <w:t>принятия решений по вопросам, регулируемым проектом НПА, комитета потребительского рынка услуг и развития предпринимательства – замечание необоснованно и отклонено, о лишении Оренбургского городского Совета возможности контролировать и регулировать процесс</w:t>
      </w:r>
      <w:r>
        <w:rPr>
          <w:color w:val="000000"/>
          <w:sz w:val="28"/>
        </w:rPr>
        <w:t xml:space="preserve"> принятия решений по установке рекламных конструкций на территории муниципального образования «город Оренбург» – замечание необоснованно и отклонено, а также с предложением о предоставлении льгот и преимуществ индивидуальным предпринимателям инвалидам и уч</w:t>
      </w:r>
      <w:r>
        <w:rPr>
          <w:color w:val="000000"/>
          <w:sz w:val="28"/>
        </w:rPr>
        <w:t>астникам боевых действий, а также юридическим лицам, в которых 50 %  работников являются инвалиды и участники боевых действий – предложение отклонено на основании ч. 5.1 статьи 19 федерального закона от 13.03.2006 № 38-ФЗ.</w:t>
      </w:r>
    </w:p>
    <w:p w:rsidR="00B33797" w:rsidRDefault="00D919D8">
      <w:pPr>
        <w:pStyle w:val="20"/>
        <w:tabs>
          <w:tab w:val="left" w:pos="0"/>
          <w:tab w:val="left" w:pos="851"/>
        </w:tabs>
        <w:spacing w:after="0"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результатам публичных консуль</w:t>
      </w:r>
      <w:r>
        <w:rPr>
          <w:sz w:val="28"/>
          <w:szCs w:val="28"/>
        </w:rPr>
        <w:t>таций разработчиком принято решение о направлении проекта акта на утверждение в установленном порядке.</w:t>
      </w:r>
    </w:p>
    <w:p w:rsidR="00B33797" w:rsidRDefault="00D919D8">
      <w:pPr>
        <w:pStyle w:val="a6"/>
        <w:numPr>
          <w:ilvl w:val="0"/>
          <w:numId w:val="1"/>
        </w:numPr>
        <w:tabs>
          <w:tab w:val="left" w:pos="1134"/>
        </w:tabs>
        <w:spacing w:line="276" w:lineRule="auto"/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оценки регулирующего воздействия (далее – ОРВ) проекта НПА факторы негативного воздействия принятия НПА не выявлены. 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851"/>
          <w:tab w:val="left" w:pos="1134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проведения пр</w:t>
      </w:r>
      <w:r>
        <w:rPr>
          <w:sz w:val="28"/>
          <w:szCs w:val="28"/>
        </w:rPr>
        <w:t>оцедуры оценки регулирующего воздействия проекта НПА и подготовки сводного отчета соответствует требованиям порядка проведения оценки регулирующего воздействия проектов нормативных правовых актов органов местного самоуправления города Оренбурга, затрагиваю</w:t>
      </w:r>
      <w:r>
        <w:rPr>
          <w:sz w:val="28"/>
          <w:szCs w:val="28"/>
        </w:rPr>
        <w:t xml:space="preserve">щих вопросы предпринимательской и инвестиционной деятельности (далее – Порядок), утвержденного постановлением Администрации города Оренбурга от 24.02.2015 </w:t>
      </w:r>
      <w:r>
        <w:rPr>
          <w:sz w:val="28"/>
          <w:szCs w:val="28"/>
        </w:rPr>
        <w:br/>
        <w:t>№ 396-п (в ред. от 26.10.2021 № 2056-п):</w:t>
      </w:r>
    </w:p>
    <w:p w:rsidR="00B33797" w:rsidRDefault="00D919D8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уведомление о проведении публичных консультаций, проект </w:t>
      </w:r>
      <w:r>
        <w:rPr>
          <w:sz w:val="28"/>
          <w:szCs w:val="28"/>
        </w:rPr>
        <w:t xml:space="preserve">правового акта, пояснительная записка, </w:t>
      </w:r>
      <w:proofErr w:type="gramStart"/>
      <w:r>
        <w:rPr>
          <w:sz w:val="28"/>
          <w:szCs w:val="28"/>
        </w:rPr>
        <w:t>опросный  лист</w:t>
      </w:r>
      <w:proofErr w:type="gramEnd"/>
      <w:r>
        <w:rPr>
          <w:sz w:val="28"/>
          <w:szCs w:val="28"/>
        </w:rPr>
        <w:t xml:space="preserve"> и нормативный правовой акт, </w:t>
      </w:r>
      <w:r>
        <w:rPr>
          <w:sz w:val="28"/>
          <w:szCs w:val="28"/>
        </w:rPr>
        <w:br/>
        <w:t>в который вносятся изменения, в действующей редакции  в установленном порядке размещены на официальном Интернет-портале города Оренбурга;</w:t>
      </w:r>
    </w:p>
    <w:p w:rsidR="00B33797" w:rsidRDefault="00D919D8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срок проведения публичных </w:t>
      </w:r>
      <w:r>
        <w:rPr>
          <w:sz w:val="28"/>
          <w:szCs w:val="28"/>
        </w:rPr>
        <w:t>консультаций соответствует требованиям Порядка (10 рабочих дней);</w:t>
      </w:r>
    </w:p>
    <w:p w:rsidR="00B33797" w:rsidRDefault="00D919D8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уполномоченный орган своевременно уведомлен о проведении публичных консультаций (уведомление устное от 06.04.2022);</w:t>
      </w:r>
    </w:p>
    <w:p w:rsidR="00B33797" w:rsidRDefault="00D919D8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по результатам публичных консультаций разработчиком подготовлен свод</w:t>
      </w:r>
      <w:r>
        <w:rPr>
          <w:sz w:val="28"/>
          <w:szCs w:val="28"/>
        </w:rPr>
        <w:t>ный отчет об оценке регулирующего воздействия;</w:t>
      </w:r>
    </w:p>
    <w:p w:rsidR="00B33797" w:rsidRDefault="00D919D8">
      <w:pPr>
        <w:pStyle w:val="a6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сводный отчет об оценке регулирующего воздействия содержит основание принятия НПА, обоснование отнесения проекта НПА к низкой степени регулирующего воздействия, сведения о поступивших замечаниях и </w:t>
      </w:r>
      <w:proofErr w:type="gramStart"/>
      <w:r>
        <w:rPr>
          <w:sz w:val="28"/>
          <w:szCs w:val="28"/>
        </w:rPr>
        <w:t>предложен</w:t>
      </w:r>
      <w:r>
        <w:rPr>
          <w:sz w:val="28"/>
          <w:szCs w:val="28"/>
        </w:rPr>
        <w:t>иях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результатах их рассмотрения, решение, принятое по результатам публичных консультаций.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основе проведенной оценки регулирующего воздействия проекта НПА с учетом информации, представленной разработчиком в сводном отчете, управлением экономики и перс</w:t>
      </w:r>
      <w:r>
        <w:rPr>
          <w:sz w:val="28"/>
          <w:szCs w:val="28"/>
        </w:rPr>
        <w:t xml:space="preserve">пективного развития администрации города Оренбурга сделан вывод о достаточном обосновании решения проблемы предложенным способом правового регулирования. 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проекте НПА отсутствуют положения, которые вводят избыточные обязанности, запреты и </w:t>
      </w:r>
      <w:r>
        <w:rPr>
          <w:sz w:val="28"/>
          <w:szCs w:val="28"/>
        </w:rPr>
        <w:t>ограничения для субъектов предпринимательской и инвестиционной деятельности, необоснованно способствуют ограничению конкуренции, а также способствуют возникновению необоснованных расходов субъектов предпринима</w:t>
      </w:r>
      <w:bookmarkStart w:id="1" w:name="_GoBack"/>
      <w:bookmarkEnd w:id="1"/>
      <w:r>
        <w:rPr>
          <w:sz w:val="28"/>
          <w:szCs w:val="28"/>
        </w:rPr>
        <w:t>тельской и инвестиционной деятельности или расх</w:t>
      </w:r>
      <w:r>
        <w:rPr>
          <w:sz w:val="28"/>
          <w:szCs w:val="28"/>
        </w:rPr>
        <w:t xml:space="preserve">одов бюджета города Оренбурга. </w:t>
      </w:r>
    </w:p>
    <w:p w:rsidR="00B33797" w:rsidRDefault="00D919D8">
      <w:pPr>
        <w:pStyle w:val="20"/>
        <w:numPr>
          <w:ilvl w:val="0"/>
          <w:numId w:val="1"/>
        </w:numPr>
        <w:tabs>
          <w:tab w:val="left" w:pos="1134"/>
        </w:tabs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 главный специалист отдела инвестиционной политики управления экономики и перспективного развития Е.А. Новикова, тел. 98-73-</w:t>
      </w:r>
      <w:proofErr w:type="gramStart"/>
      <w:r>
        <w:rPr>
          <w:sz w:val="28"/>
          <w:szCs w:val="28"/>
        </w:rPr>
        <w:t xml:space="preserve">98,   </w:t>
      </w:r>
      <w:proofErr w:type="gramEnd"/>
      <w:r>
        <w:rPr>
          <w:sz w:val="28"/>
          <w:szCs w:val="28"/>
        </w:rPr>
        <w:t xml:space="preserve">        е-</w:t>
      </w:r>
      <w:r>
        <w:rPr>
          <w:sz w:val="28"/>
          <w:szCs w:val="28"/>
          <w:lang w:val="en-US"/>
        </w:rPr>
        <w:t>m</w:t>
      </w:r>
      <w:proofErr w:type="spellStart"/>
      <w:r>
        <w:rPr>
          <w:sz w:val="28"/>
          <w:szCs w:val="28"/>
        </w:rPr>
        <w:t>ail</w:t>
      </w:r>
      <w:proofErr w:type="spellEnd"/>
      <w:r>
        <w:rPr>
          <w:sz w:val="28"/>
          <w:szCs w:val="28"/>
        </w:rPr>
        <w:t>:  e.</w:t>
      </w:r>
      <w:proofErr w:type="spellStart"/>
      <w:r>
        <w:rPr>
          <w:sz w:val="28"/>
          <w:szCs w:val="28"/>
          <w:lang w:val="en-US"/>
        </w:rPr>
        <w:t>novikova</w:t>
      </w:r>
      <w:proofErr w:type="spellEnd"/>
      <w:r>
        <w:rPr>
          <w:sz w:val="28"/>
          <w:szCs w:val="28"/>
        </w:rPr>
        <w:t>@admin.orenburg.ru.</w:t>
      </w:r>
    </w:p>
    <w:p w:rsidR="00B33797" w:rsidRDefault="00B33797">
      <w:pPr>
        <w:pStyle w:val="20"/>
        <w:spacing w:after="0" w:line="240" w:lineRule="auto"/>
        <w:jc w:val="center"/>
        <w:rPr>
          <w:sz w:val="28"/>
          <w:szCs w:val="28"/>
        </w:rPr>
      </w:pPr>
    </w:p>
    <w:p w:rsidR="00B33797" w:rsidRDefault="00B33797">
      <w:pPr>
        <w:pStyle w:val="20"/>
        <w:spacing w:after="0" w:line="240" w:lineRule="auto"/>
        <w:jc w:val="center"/>
        <w:rPr>
          <w:sz w:val="28"/>
          <w:szCs w:val="28"/>
        </w:rPr>
      </w:pPr>
    </w:p>
    <w:p w:rsidR="00B33797" w:rsidRDefault="00D919D8">
      <w:pPr>
        <w:pStyle w:val="2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                                  Е.А. </w:t>
      </w:r>
      <w:proofErr w:type="spellStart"/>
      <w:r>
        <w:rPr>
          <w:sz w:val="28"/>
          <w:szCs w:val="28"/>
        </w:rPr>
        <w:t>Бинковский</w:t>
      </w:r>
      <w:proofErr w:type="spellEnd"/>
    </w:p>
    <w:p w:rsidR="00B33797" w:rsidRDefault="00D919D8">
      <w:pPr>
        <w:jc w:val="center"/>
      </w:pPr>
      <w:bookmarkStart w:id="2" w:name="__UnoMark__1228_3698656815"/>
      <w:bookmarkEnd w:id="2"/>
      <w:r>
        <w:rPr>
          <w:rFonts w:ascii="Tahoma" w:hAnsi="Tahoma" w:cs="Tahoma"/>
          <w:noProof/>
          <w:sz w:val="16"/>
          <w:szCs w:val="16"/>
        </w:rPr>
        <w:drawing>
          <wp:inline distT="0" distB="0" distL="0" distR="0">
            <wp:extent cx="2988310" cy="1192530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119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797" w:rsidRDefault="00B33797">
      <w:pPr>
        <w:pStyle w:val="20"/>
        <w:spacing w:after="0" w:line="240" w:lineRule="auto"/>
        <w:jc w:val="both"/>
        <w:rPr>
          <w:sz w:val="28"/>
          <w:szCs w:val="28"/>
        </w:rPr>
      </w:pPr>
    </w:p>
    <w:p w:rsidR="00B33797" w:rsidRDefault="00B33797"/>
    <w:sectPr w:rsidR="00B33797">
      <w:pgSz w:w="11906" w:h="16838"/>
      <w:pgMar w:top="851" w:right="567" w:bottom="993" w:left="1134" w:header="0" w:footer="0" w:gutter="0"/>
      <w:pgNumType w:start="1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C6BA5"/>
    <w:multiLevelType w:val="multilevel"/>
    <w:tmpl w:val="DAAA6E4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1571" w:hanging="72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abstractNum w:abstractNumId="1">
    <w:nsid w:val="277911B4"/>
    <w:multiLevelType w:val="multilevel"/>
    <w:tmpl w:val="C81EDC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97"/>
    <w:rsid w:val="002836B3"/>
    <w:rsid w:val="00B33797"/>
    <w:rsid w:val="00D9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0F80D-2FFF-4CF2-BF46-C828B06F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uiPriority w:val="99"/>
    <w:qFormat/>
    <w:rsid w:val="00D54F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qFormat/>
    <w:rsid w:val="00D54F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Nirmala U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Nirmala UI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irmala UI"/>
    </w:rPr>
  </w:style>
  <w:style w:type="paragraph" w:styleId="20">
    <w:name w:val="Body Text 2"/>
    <w:basedOn w:val="a"/>
    <w:link w:val="2"/>
    <w:uiPriority w:val="99"/>
    <w:unhideWhenUsed/>
    <w:qFormat/>
    <w:rsid w:val="00D54F01"/>
    <w:pPr>
      <w:spacing w:after="120" w:line="480" w:lineRule="auto"/>
    </w:pPr>
  </w:style>
  <w:style w:type="paragraph" w:styleId="a6">
    <w:name w:val="List Paragraph"/>
    <w:basedOn w:val="a"/>
    <w:uiPriority w:val="34"/>
    <w:qFormat/>
    <w:rsid w:val="00D54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1757</Words>
  <Characters>10016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Екатерина Аделбековна</dc:creator>
  <dc:description/>
  <cp:lastModifiedBy>Скорикова Мария Александровна</cp:lastModifiedBy>
  <cp:revision>2</cp:revision>
  <dcterms:created xsi:type="dcterms:W3CDTF">2022-05-11T10:20:00Z</dcterms:created>
  <dcterms:modified xsi:type="dcterms:W3CDTF">2022-05-11T10:20:00Z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