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14" w:rsidRPr="003449B0" w:rsidRDefault="00075514" w:rsidP="003449B0">
      <w:pPr>
        <w:spacing w:after="0" w:line="240" w:lineRule="auto"/>
        <w:contextualSpacing/>
        <w:jc w:val="center"/>
        <w:rPr>
          <w:rFonts w:ascii="Times New Roman" w:eastAsia="Times New Roman" w:hAnsi="Times New Roman" w:cs="Times New Roman"/>
          <w:b/>
          <w:sz w:val="28"/>
          <w:szCs w:val="28"/>
          <w:lang w:eastAsia="ru-RU"/>
        </w:rPr>
      </w:pPr>
      <w:bookmarkStart w:id="0" w:name="_GoBack"/>
      <w:bookmarkEnd w:id="0"/>
      <w:r w:rsidRPr="003449B0">
        <w:rPr>
          <w:rFonts w:ascii="Times New Roman" w:eastAsia="Times New Roman" w:hAnsi="Times New Roman" w:cs="Times New Roman"/>
          <w:b/>
          <w:sz w:val="28"/>
          <w:szCs w:val="28"/>
          <w:lang w:eastAsia="ru-RU"/>
        </w:rPr>
        <w:t xml:space="preserve">Информация об основных результатах работы </w:t>
      </w:r>
      <w:r w:rsidR="00D8133C">
        <w:rPr>
          <w:rFonts w:ascii="Times New Roman" w:eastAsia="Times New Roman" w:hAnsi="Times New Roman" w:cs="Times New Roman"/>
          <w:b/>
          <w:sz w:val="28"/>
          <w:szCs w:val="28"/>
          <w:lang w:eastAsia="ru-RU"/>
        </w:rPr>
        <w:t xml:space="preserve">отдела охраны окружающей среды </w:t>
      </w:r>
      <w:r w:rsidRPr="003449B0">
        <w:rPr>
          <w:rFonts w:ascii="Times New Roman" w:eastAsia="Times New Roman" w:hAnsi="Times New Roman" w:cs="Times New Roman"/>
          <w:b/>
          <w:sz w:val="28"/>
          <w:szCs w:val="28"/>
          <w:lang w:eastAsia="ru-RU"/>
        </w:rPr>
        <w:t>в области</w:t>
      </w:r>
      <w:r w:rsidR="00D8133C">
        <w:rPr>
          <w:rFonts w:ascii="Times New Roman" w:eastAsia="Times New Roman" w:hAnsi="Times New Roman" w:cs="Times New Roman"/>
          <w:b/>
          <w:sz w:val="28"/>
          <w:szCs w:val="28"/>
          <w:lang w:eastAsia="ru-RU"/>
        </w:rPr>
        <w:t xml:space="preserve"> </w:t>
      </w:r>
      <w:r w:rsidRPr="003449B0">
        <w:rPr>
          <w:rFonts w:ascii="Times New Roman" w:eastAsia="Times New Roman" w:hAnsi="Times New Roman" w:cs="Times New Roman"/>
          <w:b/>
          <w:sz w:val="28"/>
          <w:szCs w:val="28"/>
          <w:lang w:eastAsia="ru-RU"/>
        </w:rPr>
        <w:t>охраны окружающей среды за 201</w:t>
      </w:r>
      <w:r w:rsidR="00703CFE">
        <w:rPr>
          <w:rFonts w:ascii="Times New Roman" w:eastAsia="Times New Roman" w:hAnsi="Times New Roman" w:cs="Times New Roman"/>
          <w:b/>
          <w:sz w:val="28"/>
          <w:szCs w:val="28"/>
          <w:lang w:eastAsia="ru-RU"/>
        </w:rPr>
        <w:t>7</w:t>
      </w:r>
      <w:r w:rsidRPr="003449B0">
        <w:rPr>
          <w:rFonts w:ascii="Times New Roman" w:eastAsia="Times New Roman" w:hAnsi="Times New Roman" w:cs="Times New Roman"/>
          <w:b/>
          <w:sz w:val="28"/>
          <w:szCs w:val="28"/>
          <w:lang w:eastAsia="ru-RU"/>
        </w:rPr>
        <w:t xml:space="preserve"> год</w:t>
      </w:r>
    </w:p>
    <w:p w:rsidR="00075514" w:rsidRPr="003449B0" w:rsidRDefault="00075514" w:rsidP="003449B0">
      <w:pPr>
        <w:spacing w:after="0" w:line="240" w:lineRule="auto"/>
        <w:ind w:right="-1"/>
        <w:contextualSpacing/>
        <w:jc w:val="center"/>
        <w:rPr>
          <w:rFonts w:ascii="Times New Roman" w:eastAsia="Times New Roman" w:hAnsi="Times New Roman" w:cs="Times New Roman"/>
          <w:sz w:val="28"/>
          <w:szCs w:val="28"/>
          <w:lang w:eastAsia="ru-RU"/>
        </w:rPr>
      </w:pPr>
    </w:p>
    <w:p w:rsidR="00F758D6" w:rsidRPr="00F758D6" w:rsidRDefault="00F758D6" w:rsidP="00F758D6">
      <w:pPr>
        <w:pStyle w:val="a8"/>
        <w:shd w:val="clear" w:color="auto" w:fill="FFFFFF"/>
        <w:spacing w:after="0"/>
        <w:ind w:firstLine="709"/>
        <w:contextualSpacing/>
        <w:jc w:val="both"/>
        <w:rPr>
          <w:sz w:val="28"/>
          <w:szCs w:val="28"/>
        </w:rPr>
      </w:pPr>
      <w:r w:rsidRPr="00F758D6">
        <w:rPr>
          <w:sz w:val="28"/>
          <w:szCs w:val="28"/>
        </w:rPr>
        <w:t>Экологическая ситуация в Оренбурге на протяжении последних нескольких лет стабилизировалась, по данным Оренбургского центра по гидрометеорологии и мониторингу окружающей среды характеризуется как относительно спокойная. Уровень загрязнения атмосферного воздуха в 2017 году – «низкий» (для сравнения в 2016 и предыдущие годы данный показатель в городе характеризовался как «повышенный»).</w:t>
      </w:r>
    </w:p>
    <w:p w:rsidR="00F758D6" w:rsidRPr="00F758D6" w:rsidRDefault="00F758D6" w:rsidP="00F758D6">
      <w:pPr>
        <w:pStyle w:val="a8"/>
        <w:shd w:val="clear" w:color="auto" w:fill="FFFFFF"/>
        <w:spacing w:after="0"/>
        <w:ind w:firstLine="709"/>
        <w:contextualSpacing/>
        <w:jc w:val="both"/>
        <w:rPr>
          <w:sz w:val="28"/>
          <w:szCs w:val="28"/>
        </w:rPr>
      </w:pPr>
      <w:r w:rsidRPr="00F758D6">
        <w:rPr>
          <w:sz w:val="28"/>
          <w:szCs w:val="28"/>
        </w:rPr>
        <w:t xml:space="preserve">Главными источниками загрязнения атмосферы г. Оренбурга </w:t>
      </w:r>
      <w:proofErr w:type="gramStart"/>
      <w:r w:rsidRPr="00F758D6">
        <w:rPr>
          <w:sz w:val="28"/>
          <w:szCs w:val="28"/>
        </w:rPr>
        <w:t>по прежнему</w:t>
      </w:r>
      <w:proofErr w:type="gramEnd"/>
      <w:r w:rsidRPr="00F758D6">
        <w:rPr>
          <w:sz w:val="28"/>
          <w:szCs w:val="28"/>
        </w:rPr>
        <w:t xml:space="preserve"> являются автотранспорт, предприятия ТЭК, машиностроения, строительной индустрии, железнодорожный транспорт. Значительный вклад в выбросы вносят стационарные источники предприятий, расположенных на территории смежных муниципальных образований (ООО «Газпром добыча Оренбург», ГУП «Аэропорт Оренбург», ПАО «Уральский бройлер» и др.).</w:t>
      </w:r>
    </w:p>
    <w:p w:rsidR="00F758D6" w:rsidRPr="00F758D6" w:rsidRDefault="00F758D6" w:rsidP="00F758D6">
      <w:pPr>
        <w:pStyle w:val="a8"/>
        <w:shd w:val="clear" w:color="auto" w:fill="FFFFFF"/>
        <w:spacing w:after="0"/>
        <w:ind w:firstLine="709"/>
        <w:contextualSpacing/>
        <w:jc w:val="both"/>
        <w:rPr>
          <w:sz w:val="28"/>
          <w:szCs w:val="28"/>
        </w:rPr>
      </w:pPr>
      <w:r w:rsidRPr="00F758D6">
        <w:rPr>
          <w:sz w:val="28"/>
          <w:szCs w:val="28"/>
        </w:rPr>
        <w:t xml:space="preserve">Основными веществами, вносящими вклад в загрязнение атмосферы города, по-прежнему являются: взвешенные вещества, диоксид азота, оксид азота, формальдегид и </w:t>
      </w:r>
      <w:proofErr w:type="spellStart"/>
      <w:r w:rsidRPr="00F758D6">
        <w:rPr>
          <w:sz w:val="28"/>
          <w:szCs w:val="28"/>
        </w:rPr>
        <w:t>бен</w:t>
      </w:r>
      <w:proofErr w:type="gramStart"/>
      <w:r w:rsidRPr="00F758D6">
        <w:rPr>
          <w:sz w:val="28"/>
          <w:szCs w:val="28"/>
        </w:rPr>
        <w:t>з</w:t>
      </w:r>
      <w:proofErr w:type="spellEnd"/>
      <w:r w:rsidRPr="00F758D6">
        <w:rPr>
          <w:sz w:val="28"/>
          <w:szCs w:val="28"/>
        </w:rPr>
        <w:t>(</w:t>
      </w:r>
      <w:proofErr w:type="gramEnd"/>
      <w:r w:rsidRPr="00F758D6">
        <w:rPr>
          <w:sz w:val="28"/>
          <w:szCs w:val="28"/>
        </w:rPr>
        <w:t>а)</w:t>
      </w:r>
      <w:proofErr w:type="spellStart"/>
      <w:r w:rsidRPr="00F758D6">
        <w:rPr>
          <w:sz w:val="28"/>
          <w:szCs w:val="28"/>
        </w:rPr>
        <w:t>пирен</w:t>
      </w:r>
      <w:proofErr w:type="spellEnd"/>
      <w:r w:rsidRPr="00F758D6">
        <w:rPr>
          <w:sz w:val="28"/>
          <w:szCs w:val="28"/>
        </w:rPr>
        <w:t>.</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t>Общий объем затрат на реализацию природоохранных мероприятий в 2017 году составляет более 6 млрд. руб.</w:t>
      </w:r>
    </w:p>
    <w:p w:rsidR="00510470" w:rsidRPr="00510470" w:rsidRDefault="00510470" w:rsidP="00510470">
      <w:pPr>
        <w:pStyle w:val="a8"/>
        <w:shd w:val="clear" w:color="auto" w:fill="FFFFFF"/>
        <w:spacing w:after="0"/>
        <w:ind w:firstLine="709"/>
        <w:contextualSpacing/>
        <w:jc w:val="both"/>
        <w:rPr>
          <w:sz w:val="28"/>
          <w:szCs w:val="28"/>
        </w:rPr>
      </w:pPr>
      <w:proofErr w:type="gramStart"/>
      <w:r w:rsidRPr="00510470">
        <w:rPr>
          <w:sz w:val="28"/>
          <w:szCs w:val="28"/>
        </w:rPr>
        <w:t>Компания «</w:t>
      </w:r>
      <w:proofErr w:type="spellStart"/>
      <w:r w:rsidRPr="00510470">
        <w:rPr>
          <w:sz w:val="28"/>
          <w:szCs w:val="28"/>
        </w:rPr>
        <w:t>Газпромнефть</w:t>
      </w:r>
      <w:proofErr w:type="spellEnd"/>
      <w:r w:rsidRPr="00510470">
        <w:rPr>
          <w:sz w:val="28"/>
          <w:szCs w:val="28"/>
        </w:rPr>
        <w:t xml:space="preserve"> Оренбург» завершила реализацию инвестиционного проекта «Строительство компрессорной станции на Восточном участке Оренбургского нефтегазоконденсатного месторождения», позволяющего довести уровень полезного использования попутного нефтяного газа на Восточном участке ОНГКМ до 95 %. Стоимость реализации проекта более 5,0 млрд. руб. Реализация проекта позволила направить весь объем попутного нефтяного газа на переработку на Оренбургский ГПЗ, то есть технологически отказаться от сжигания и рассеивания.</w:t>
      </w:r>
      <w:proofErr w:type="gramEnd"/>
    </w:p>
    <w:p w:rsidR="00BD5049" w:rsidRPr="00BD5049" w:rsidRDefault="00BD5049" w:rsidP="00BD5049">
      <w:pPr>
        <w:pStyle w:val="a8"/>
        <w:shd w:val="clear" w:color="auto" w:fill="FFFFFF"/>
        <w:spacing w:after="0"/>
        <w:ind w:firstLine="709"/>
        <w:contextualSpacing/>
        <w:jc w:val="both"/>
        <w:rPr>
          <w:sz w:val="28"/>
          <w:szCs w:val="28"/>
        </w:rPr>
      </w:pPr>
      <w:r w:rsidRPr="00BD5049">
        <w:rPr>
          <w:sz w:val="28"/>
          <w:szCs w:val="28"/>
        </w:rPr>
        <w:t>ООО «</w:t>
      </w:r>
      <w:proofErr w:type="spellStart"/>
      <w:r w:rsidRPr="00BD5049">
        <w:rPr>
          <w:sz w:val="28"/>
          <w:szCs w:val="28"/>
        </w:rPr>
        <w:t>ЭкоСпутник</w:t>
      </w:r>
      <w:proofErr w:type="spellEnd"/>
      <w:r w:rsidRPr="00BD5049">
        <w:rPr>
          <w:sz w:val="28"/>
          <w:szCs w:val="28"/>
        </w:rPr>
        <w:t xml:space="preserve">» продолжает развитие системы обращения с твердыми коммунальными отходами на территории города. За отчетный период компанией освоено свыше 27 млн. руб. на приобретение новой спецтехники, в том числе для работы на мусоросортировочном комплексе, установку 90 контейнеров заглубленного типа (20 ед. – 2,5 </w:t>
      </w:r>
      <w:proofErr w:type="spellStart"/>
      <w:r w:rsidRPr="00BD5049">
        <w:rPr>
          <w:sz w:val="28"/>
          <w:szCs w:val="28"/>
        </w:rPr>
        <w:t>куб</w:t>
      </w:r>
      <w:proofErr w:type="gramStart"/>
      <w:r w:rsidRPr="00BD5049">
        <w:rPr>
          <w:sz w:val="28"/>
          <w:szCs w:val="28"/>
        </w:rPr>
        <w:t>.м</w:t>
      </w:r>
      <w:proofErr w:type="spellEnd"/>
      <w:proofErr w:type="gramEnd"/>
      <w:r w:rsidRPr="00BD5049">
        <w:rPr>
          <w:sz w:val="28"/>
          <w:szCs w:val="28"/>
        </w:rPr>
        <w:t xml:space="preserve">, 70 – 5 </w:t>
      </w:r>
      <w:proofErr w:type="spellStart"/>
      <w:r w:rsidRPr="00BD5049">
        <w:rPr>
          <w:sz w:val="28"/>
          <w:szCs w:val="28"/>
        </w:rPr>
        <w:t>куб.м</w:t>
      </w:r>
      <w:proofErr w:type="spellEnd"/>
      <w:r w:rsidRPr="00BD5049">
        <w:rPr>
          <w:sz w:val="28"/>
          <w:szCs w:val="28"/>
        </w:rPr>
        <w:t>) и сетчатых контейнеров для сбора ПЭТ-тары (70 единиц).</w:t>
      </w:r>
    </w:p>
    <w:p w:rsidR="00510470" w:rsidRPr="00510470" w:rsidRDefault="00BD5049" w:rsidP="00BD5049">
      <w:pPr>
        <w:pStyle w:val="a8"/>
        <w:shd w:val="clear" w:color="auto" w:fill="FFFFFF"/>
        <w:spacing w:after="0"/>
        <w:ind w:firstLine="709"/>
        <w:contextualSpacing/>
        <w:jc w:val="both"/>
        <w:rPr>
          <w:sz w:val="28"/>
          <w:szCs w:val="28"/>
        </w:rPr>
      </w:pPr>
      <w:r w:rsidRPr="00BD5049">
        <w:rPr>
          <w:sz w:val="28"/>
          <w:szCs w:val="28"/>
        </w:rPr>
        <w:t>За время работы мусоросортировочного завода в 2014–2017 годах отобрано порядка 65,0 тыс. тонн вторичного сырья, которое направлено на переработку. Осуществляется сортировка таких полезных фракций ТКО – бумага, картон, пластик, полиэтилен, лом черных и цветных металлов, стекло.</w:t>
      </w:r>
      <w:r>
        <w:rPr>
          <w:sz w:val="28"/>
          <w:szCs w:val="28"/>
        </w:rPr>
        <w:t xml:space="preserve"> </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t>В рамках реализации инвестиционной программы предприятия ООО «Оренбург Водоканал» в 2017 году:</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t xml:space="preserve">– завершены работы по реконструкции 2-х вторичных отстойников с установкой фильтров с плавающей загрузкой. Завершен капитальный ремонт одного </w:t>
      </w:r>
      <w:proofErr w:type="spellStart"/>
      <w:r w:rsidRPr="00510470">
        <w:rPr>
          <w:sz w:val="28"/>
          <w:szCs w:val="28"/>
        </w:rPr>
        <w:t>метантенка</w:t>
      </w:r>
      <w:proofErr w:type="spellEnd"/>
      <w:r w:rsidR="002B2451">
        <w:rPr>
          <w:sz w:val="28"/>
          <w:szCs w:val="28"/>
        </w:rPr>
        <w:t>. Объем затрат на реализацию данного мероприятия</w:t>
      </w:r>
      <w:r w:rsidRPr="00510470">
        <w:rPr>
          <w:sz w:val="28"/>
          <w:szCs w:val="28"/>
        </w:rPr>
        <w:t xml:space="preserve"> 37,1 млн. руб. Экологический эффект – снижение концентраций и масс загрязняющих веще</w:t>
      </w:r>
      <w:proofErr w:type="gramStart"/>
      <w:r w:rsidRPr="00510470">
        <w:rPr>
          <w:sz w:val="28"/>
          <w:szCs w:val="28"/>
        </w:rPr>
        <w:t>ств в ст</w:t>
      </w:r>
      <w:proofErr w:type="gramEnd"/>
      <w:r w:rsidRPr="00510470">
        <w:rPr>
          <w:sz w:val="28"/>
          <w:szCs w:val="28"/>
        </w:rPr>
        <w:t>очной воде после биологической очистки;</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lastRenderedPageBreak/>
        <w:t>– выполнена реконструкция и капитальный ремонт канализационных сетей и КНС – 47,02 млн. руб. Экологический эффект – повышение надежности работы сетей и сооружений, снижение возможных рисков попадания неочищенных сточных вод на рельеф и в водные объекты.</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t xml:space="preserve">В 2017 году выполнены работы по реконструкции </w:t>
      </w:r>
      <w:proofErr w:type="gramStart"/>
      <w:r w:rsidRPr="00510470">
        <w:rPr>
          <w:sz w:val="28"/>
          <w:szCs w:val="28"/>
        </w:rPr>
        <w:t>пыле-газоочистного</w:t>
      </w:r>
      <w:proofErr w:type="gramEnd"/>
      <w:r w:rsidRPr="00510470">
        <w:rPr>
          <w:sz w:val="28"/>
          <w:szCs w:val="28"/>
        </w:rPr>
        <w:t xml:space="preserve"> оборудования и фильтровальных систем ООО «Джон </w:t>
      </w:r>
      <w:proofErr w:type="spellStart"/>
      <w:r w:rsidRPr="00510470">
        <w:rPr>
          <w:sz w:val="28"/>
          <w:szCs w:val="28"/>
        </w:rPr>
        <w:t>Дир</w:t>
      </w:r>
      <w:proofErr w:type="spellEnd"/>
      <w:r w:rsidRPr="00510470">
        <w:rPr>
          <w:sz w:val="28"/>
          <w:szCs w:val="28"/>
        </w:rPr>
        <w:t xml:space="preserve"> Русь», на ЗАО «Хлебопродукт-1, ЗАО «Хлебопродукт-2», ОАО ПО «Стрела».</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t xml:space="preserve">В целях снижения загрязнения атмосферы города осуществляется </w:t>
      </w:r>
      <w:proofErr w:type="gramStart"/>
      <w:r w:rsidRPr="00510470">
        <w:rPr>
          <w:sz w:val="28"/>
          <w:szCs w:val="28"/>
        </w:rPr>
        <w:t>контроль за</w:t>
      </w:r>
      <w:proofErr w:type="gramEnd"/>
      <w:r w:rsidRPr="00510470">
        <w:rPr>
          <w:sz w:val="28"/>
          <w:szCs w:val="28"/>
        </w:rPr>
        <w:t xml:space="preserve"> вырубкой и высадкой зелёных насаждений со стороны экологических служб города, оформляются порубочные билеты на снос деревьев и кустарников, проведение санитарной и омолаживающей обрезки деревьев, за отчетный период оформлено 767 разрешений (2016 г. – 535). Для организации учета зеленых насаждений на территории города Оренбурга создана карта в ГИС </w:t>
      </w:r>
      <w:proofErr w:type="spellStart"/>
      <w:r w:rsidRPr="00510470">
        <w:rPr>
          <w:sz w:val="28"/>
          <w:szCs w:val="28"/>
        </w:rPr>
        <w:t>ИнГео</w:t>
      </w:r>
      <w:proofErr w:type="spellEnd"/>
      <w:r w:rsidRPr="00510470">
        <w:rPr>
          <w:sz w:val="28"/>
          <w:szCs w:val="28"/>
        </w:rPr>
        <w:t xml:space="preserve"> «Зеленые насаждения», на которую  наносятся вновь высаженные деревья и кустарники. После проверки приживаемости  на электронную карту в 2017 году  нанесено порядка 1500 деревьев и кустарников.</w:t>
      </w:r>
    </w:p>
    <w:p w:rsidR="00F758D6" w:rsidRDefault="00510470" w:rsidP="00510470">
      <w:pPr>
        <w:pStyle w:val="a8"/>
        <w:shd w:val="clear" w:color="auto" w:fill="FFFFFF"/>
        <w:spacing w:after="0"/>
        <w:ind w:firstLine="709"/>
        <w:contextualSpacing/>
        <w:jc w:val="both"/>
        <w:rPr>
          <w:sz w:val="28"/>
          <w:szCs w:val="28"/>
        </w:rPr>
      </w:pPr>
      <w:r w:rsidRPr="00510470">
        <w:rPr>
          <w:sz w:val="28"/>
          <w:szCs w:val="28"/>
        </w:rPr>
        <w:t>В счет возмещения ущерба от сноса зеленых насаждений в округа города в 2017 году поступило около 2,2 млн. руб. (в 2016 году – 4,2 млн. руб.).</w:t>
      </w:r>
    </w:p>
    <w:p w:rsidR="00F758D6" w:rsidRPr="00F758D6" w:rsidRDefault="00F758D6" w:rsidP="00F758D6">
      <w:pPr>
        <w:pStyle w:val="a8"/>
        <w:shd w:val="clear" w:color="auto" w:fill="FFFFFF"/>
        <w:spacing w:after="0"/>
        <w:ind w:firstLine="709"/>
        <w:contextualSpacing/>
        <w:jc w:val="both"/>
        <w:rPr>
          <w:sz w:val="28"/>
          <w:szCs w:val="28"/>
        </w:rPr>
      </w:pPr>
      <w:r w:rsidRPr="00F758D6">
        <w:rPr>
          <w:sz w:val="28"/>
          <w:szCs w:val="28"/>
        </w:rPr>
        <w:t xml:space="preserve">В 2017 году выполнены работы по корректировке материалов лесоустройства Городского лесничества МО «город Оренбург». После прохождения антикоррупционной </w:t>
      </w:r>
      <w:proofErr w:type="gramStart"/>
      <w:r w:rsidRPr="00F758D6">
        <w:rPr>
          <w:sz w:val="28"/>
          <w:szCs w:val="28"/>
        </w:rPr>
        <w:t>экспертизы</w:t>
      </w:r>
      <w:proofErr w:type="gramEnd"/>
      <w:r w:rsidRPr="00F758D6">
        <w:rPr>
          <w:sz w:val="28"/>
          <w:szCs w:val="28"/>
        </w:rPr>
        <w:t xml:space="preserve"> разработанные материалы лесоустройства и лесохозяйственного регламента» будут направлены в Федеральное агентство лесного хозяйства для установления границ Городского лесничества города Оренбурга.</w:t>
      </w:r>
    </w:p>
    <w:p w:rsidR="00F758D6" w:rsidRPr="00F758D6" w:rsidRDefault="00F758D6" w:rsidP="00F758D6">
      <w:pPr>
        <w:pStyle w:val="a8"/>
        <w:shd w:val="clear" w:color="auto" w:fill="FFFFFF"/>
        <w:spacing w:after="0"/>
        <w:ind w:firstLine="709"/>
        <w:contextualSpacing/>
        <w:jc w:val="both"/>
        <w:rPr>
          <w:sz w:val="28"/>
          <w:szCs w:val="28"/>
        </w:rPr>
      </w:pPr>
      <w:r w:rsidRPr="00F758D6">
        <w:rPr>
          <w:sz w:val="28"/>
          <w:szCs w:val="28"/>
        </w:rPr>
        <w:t xml:space="preserve">Кроме того, постановлением Законодательного Собрания Оренбургской области от 29.11.2017 № 714 создан лесопарковый зеленый пояс в границах города Оренбурга площадью 167,8 га (лесополоса вдоль ул. Березка). </w:t>
      </w:r>
      <w:r w:rsidR="002B2451">
        <w:rPr>
          <w:sz w:val="28"/>
          <w:szCs w:val="28"/>
        </w:rPr>
        <w:t>Л</w:t>
      </w:r>
      <w:r w:rsidRPr="00F758D6">
        <w:rPr>
          <w:sz w:val="28"/>
          <w:szCs w:val="28"/>
        </w:rPr>
        <w:t xml:space="preserve">есопарковый зеленый пояс является зоной с ограниченным режимом природопользования и иной хозяйственной деятельности, приоритетными направлениями </w:t>
      </w:r>
      <w:proofErr w:type="gramStart"/>
      <w:r w:rsidRPr="00F758D6">
        <w:rPr>
          <w:sz w:val="28"/>
          <w:szCs w:val="28"/>
        </w:rPr>
        <w:t>деятельности</w:t>
      </w:r>
      <w:proofErr w:type="gramEnd"/>
      <w:r w:rsidRPr="00F758D6">
        <w:rPr>
          <w:sz w:val="28"/>
          <w:szCs w:val="28"/>
        </w:rPr>
        <w:t xml:space="preserve"> на территории которого являются: охрана окружающей среды, природных комплексов и объектов; проведение научных исследований; ведение эколого-просветительской работы и развитие туризма.</w:t>
      </w:r>
    </w:p>
    <w:p w:rsidR="00F758D6" w:rsidRPr="00F758D6" w:rsidRDefault="00F758D6" w:rsidP="00F758D6">
      <w:pPr>
        <w:pStyle w:val="a8"/>
        <w:shd w:val="clear" w:color="auto" w:fill="FFFFFF"/>
        <w:spacing w:after="0"/>
        <w:ind w:firstLine="709"/>
        <w:contextualSpacing/>
        <w:jc w:val="both"/>
        <w:rPr>
          <w:sz w:val="28"/>
          <w:szCs w:val="28"/>
        </w:rPr>
      </w:pPr>
      <w:r w:rsidRPr="00F758D6">
        <w:rPr>
          <w:sz w:val="28"/>
          <w:szCs w:val="28"/>
        </w:rPr>
        <w:t xml:space="preserve">В марте 2017 года эксперты международной независимой экологической организации «Гринпис России» изучали систему раздельного сбора твердых коммунальных отходов в Оренбурге. По результатам анализа данных более 160 крупных городов России с населением от 100 тыс. человек Гринпис России составлен </w:t>
      </w:r>
      <w:proofErr w:type="gramStart"/>
      <w:r w:rsidRPr="00F758D6">
        <w:rPr>
          <w:sz w:val="28"/>
          <w:szCs w:val="28"/>
        </w:rPr>
        <w:t>рейтинг</w:t>
      </w:r>
      <w:proofErr w:type="gramEnd"/>
      <w:r w:rsidRPr="00F758D6">
        <w:rPr>
          <w:sz w:val="28"/>
          <w:szCs w:val="28"/>
        </w:rPr>
        <w:t xml:space="preserve"> по результатам которого Оренбург вошёл в тройку лучших городов России по внедрению раздельного сбора, где горожане имеют доступ к раздельному сбору отходов и где удобнее всего жить экологически ответственным россиянам.</w:t>
      </w:r>
    </w:p>
    <w:p w:rsidR="00D8133C" w:rsidRDefault="00D8133C" w:rsidP="00D8133C">
      <w:pPr>
        <w:pStyle w:val="a8"/>
        <w:shd w:val="clear" w:color="auto" w:fill="FFFFFF"/>
        <w:spacing w:after="0"/>
        <w:ind w:firstLine="709"/>
        <w:contextualSpacing/>
        <w:jc w:val="both"/>
        <w:rPr>
          <w:sz w:val="28"/>
          <w:szCs w:val="28"/>
        </w:rPr>
      </w:pPr>
      <w:r w:rsidRPr="00D8133C">
        <w:rPr>
          <w:sz w:val="28"/>
          <w:szCs w:val="28"/>
        </w:rPr>
        <w:t xml:space="preserve">В мае  месяце в городе Оренбурге работала первая в мире выставка на колёсах «Ноль отходов», разработанная «Гринпис» совместно российскими дизайнерами. Экспозиция располагалась в автобусе, переделанном под художественное пространство. </w:t>
      </w:r>
      <w:proofErr w:type="gramStart"/>
      <w:r w:rsidRPr="00D8133C">
        <w:rPr>
          <w:sz w:val="28"/>
          <w:szCs w:val="28"/>
        </w:rPr>
        <w:t xml:space="preserve">Состоялась рабочая встреча экспертов «Гринпис России» с руководством города Оренбурга в формате круглого стола, на которой обсуждались наиболее перспективные направления развития системы раздельного </w:t>
      </w:r>
      <w:r w:rsidRPr="00D8133C">
        <w:rPr>
          <w:sz w:val="28"/>
          <w:szCs w:val="28"/>
        </w:rPr>
        <w:lastRenderedPageBreak/>
        <w:t xml:space="preserve">сбора отходов и выработка предложений по дальнейшему взаимодействию в сфере открытых данных о раздельном сборе и переработке отходов. </w:t>
      </w:r>
      <w:proofErr w:type="gramEnd"/>
    </w:p>
    <w:p w:rsidR="00D8133C" w:rsidRPr="00F758D6" w:rsidRDefault="00D8133C" w:rsidP="00D8133C">
      <w:pPr>
        <w:pStyle w:val="a8"/>
        <w:shd w:val="clear" w:color="auto" w:fill="FFFFFF"/>
        <w:spacing w:after="0"/>
        <w:ind w:firstLine="709"/>
        <w:contextualSpacing/>
        <w:jc w:val="both"/>
        <w:rPr>
          <w:sz w:val="28"/>
          <w:szCs w:val="28"/>
        </w:rPr>
      </w:pPr>
      <w:r w:rsidRPr="00D8133C">
        <w:rPr>
          <w:sz w:val="28"/>
          <w:szCs w:val="28"/>
        </w:rPr>
        <w:t xml:space="preserve">Отделом охраны окружающей среды подготовлена информация для участия города Оренбурга в рейтинге экологического управления городов России за 2016 год, который организован Минприроды России совместно с Общероссийским народным фронтом. </w:t>
      </w:r>
      <w:r w:rsidRPr="00F758D6">
        <w:rPr>
          <w:sz w:val="28"/>
          <w:szCs w:val="28"/>
        </w:rPr>
        <w:t>Данный рейтинг оценивает не только и не столько экологическую чистоту городов, сколько эффективность управления экологическим развитием. Целью рейтинга являлось стимулирование экологически ориентированного управления развитием городов, прозрачности и подотчетности природоохранной деятельности</w:t>
      </w:r>
      <w:r>
        <w:rPr>
          <w:sz w:val="28"/>
          <w:szCs w:val="28"/>
        </w:rPr>
        <w:t>.</w:t>
      </w:r>
    </w:p>
    <w:p w:rsidR="00D8133C" w:rsidRDefault="00D8133C" w:rsidP="00D8133C">
      <w:pPr>
        <w:pStyle w:val="a8"/>
        <w:shd w:val="clear" w:color="auto" w:fill="FFFFFF"/>
        <w:spacing w:after="0"/>
        <w:ind w:firstLine="709"/>
        <w:contextualSpacing/>
        <w:jc w:val="both"/>
        <w:rPr>
          <w:sz w:val="28"/>
          <w:szCs w:val="28"/>
        </w:rPr>
      </w:pPr>
      <w:r w:rsidRPr="00D8133C">
        <w:rPr>
          <w:sz w:val="28"/>
          <w:szCs w:val="28"/>
        </w:rPr>
        <w:t xml:space="preserve">В рейтинг экологического развития российских городов за 2016 год город Оренбург вошел в группу лидеров, и занимает седьмое место (в 2015 году –  14 место). Всего в рейтинге приняли участие 103 города. </w:t>
      </w:r>
    </w:p>
    <w:p w:rsidR="00F758D6" w:rsidRPr="00F758D6" w:rsidRDefault="00F758D6" w:rsidP="00F758D6">
      <w:pPr>
        <w:pStyle w:val="a8"/>
        <w:shd w:val="clear" w:color="auto" w:fill="FFFFFF"/>
        <w:spacing w:after="0"/>
        <w:ind w:firstLine="709"/>
        <w:contextualSpacing/>
        <w:jc w:val="both"/>
        <w:rPr>
          <w:sz w:val="28"/>
          <w:szCs w:val="28"/>
        </w:rPr>
      </w:pPr>
      <w:r w:rsidRPr="00F758D6">
        <w:rPr>
          <w:sz w:val="28"/>
          <w:szCs w:val="28"/>
        </w:rPr>
        <w:t>Город Оренбург занял лидирующие позиции рейтинга в категориях потребление и качество питьевой воды, обращение с твердыми коммунальными отходами, а также управление охраной окружающей среды и эффективная реализация инициатив «Общероссийского народного фронта», в том числе ликвидация свалок отходов в системе «Генеральная уборка» и создание «Зеленого щита».</w:t>
      </w:r>
    </w:p>
    <w:p w:rsidR="00F758D6" w:rsidRPr="00F758D6" w:rsidRDefault="00F758D6" w:rsidP="00F758D6">
      <w:pPr>
        <w:pStyle w:val="a8"/>
        <w:shd w:val="clear" w:color="auto" w:fill="FFFFFF"/>
        <w:spacing w:after="0"/>
        <w:ind w:firstLine="709"/>
        <w:contextualSpacing/>
        <w:jc w:val="both"/>
        <w:rPr>
          <w:sz w:val="28"/>
          <w:szCs w:val="28"/>
        </w:rPr>
      </w:pPr>
      <w:r w:rsidRPr="00F758D6">
        <w:rPr>
          <w:sz w:val="28"/>
          <w:szCs w:val="28"/>
        </w:rPr>
        <w:t>В рамках реализации полномочий ОМС в области обращения с отходами, в соответствии с дорожной картой по переходу на новую систему обращения с ТКО выполнены следующие мероприятия:</w:t>
      </w:r>
    </w:p>
    <w:p w:rsidR="00F758D6" w:rsidRPr="00F758D6" w:rsidRDefault="00F758D6" w:rsidP="00F758D6">
      <w:pPr>
        <w:pStyle w:val="a8"/>
        <w:shd w:val="clear" w:color="auto" w:fill="FFFFFF"/>
        <w:spacing w:after="0"/>
        <w:ind w:firstLine="709"/>
        <w:contextualSpacing/>
        <w:jc w:val="both"/>
        <w:rPr>
          <w:sz w:val="28"/>
          <w:szCs w:val="28"/>
        </w:rPr>
      </w:pPr>
      <w:r w:rsidRPr="00F758D6">
        <w:rPr>
          <w:sz w:val="28"/>
          <w:szCs w:val="28"/>
        </w:rPr>
        <w:t>1.</w:t>
      </w:r>
      <w:r w:rsidRPr="00F758D6">
        <w:rPr>
          <w:sz w:val="28"/>
          <w:szCs w:val="28"/>
        </w:rPr>
        <w:tab/>
        <w:t>В целях установления нормативов накопления ТКО совместно с ООО «</w:t>
      </w:r>
      <w:proofErr w:type="spellStart"/>
      <w:r w:rsidRPr="00F758D6">
        <w:rPr>
          <w:sz w:val="28"/>
          <w:szCs w:val="28"/>
        </w:rPr>
        <w:t>ЭкоСпутник</w:t>
      </w:r>
      <w:proofErr w:type="spellEnd"/>
      <w:r w:rsidRPr="00F758D6">
        <w:rPr>
          <w:sz w:val="28"/>
          <w:szCs w:val="28"/>
        </w:rPr>
        <w:t>», ежеквартально выполнялись замеры и расчет объемов отходов образующихся в городе, в отношении 35 категорий объектов, с последующим представлением сведений в департамент по ценам и регулированию тарифов Оренбургской области;</w:t>
      </w:r>
    </w:p>
    <w:p w:rsidR="00F758D6" w:rsidRPr="00F758D6" w:rsidRDefault="00F758D6" w:rsidP="00F758D6">
      <w:pPr>
        <w:pStyle w:val="a8"/>
        <w:shd w:val="clear" w:color="auto" w:fill="FFFFFF"/>
        <w:spacing w:after="0"/>
        <w:ind w:firstLine="709"/>
        <w:contextualSpacing/>
        <w:jc w:val="both"/>
        <w:rPr>
          <w:sz w:val="28"/>
          <w:szCs w:val="28"/>
        </w:rPr>
      </w:pPr>
      <w:r w:rsidRPr="00F758D6">
        <w:rPr>
          <w:sz w:val="28"/>
          <w:szCs w:val="28"/>
        </w:rPr>
        <w:t>2.</w:t>
      </w:r>
      <w:r w:rsidRPr="00F758D6">
        <w:rPr>
          <w:sz w:val="28"/>
          <w:szCs w:val="28"/>
        </w:rPr>
        <w:tab/>
      </w:r>
      <w:proofErr w:type="gramStart"/>
      <w:r w:rsidRPr="00F758D6">
        <w:rPr>
          <w:sz w:val="28"/>
          <w:szCs w:val="28"/>
        </w:rPr>
        <w:t>В министерство природных ресурсов, экологии и имущественных отношений Оренбургской области подготовлены и направлены предложения по корректировке территориальной схемы обращения с отходами, в том числе с твердыми коммунальными отходами (утв. постановлением Правительства Оренбургской области от 26.09.2016 № 682-п), в части перенаправления потока ТКО, образующихся на территории смежных муниципальных образований и созданию территориального кластера с центром в г. Оренбурге на базе действующего полигона</w:t>
      </w:r>
      <w:proofErr w:type="gramEnd"/>
      <w:r w:rsidRPr="00F758D6">
        <w:rPr>
          <w:sz w:val="28"/>
          <w:szCs w:val="28"/>
        </w:rPr>
        <w:t>, как наиболее оптимального решения с точки зрения логистической инфраструктуры;</w:t>
      </w:r>
    </w:p>
    <w:p w:rsidR="00F758D6" w:rsidRDefault="00F758D6" w:rsidP="00F758D6">
      <w:pPr>
        <w:pStyle w:val="a8"/>
        <w:shd w:val="clear" w:color="auto" w:fill="FFFFFF"/>
        <w:spacing w:after="0"/>
        <w:ind w:firstLine="709"/>
        <w:contextualSpacing/>
        <w:jc w:val="both"/>
        <w:rPr>
          <w:sz w:val="28"/>
          <w:szCs w:val="28"/>
        </w:rPr>
      </w:pPr>
      <w:r w:rsidRPr="00F758D6">
        <w:rPr>
          <w:sz w:val="28"/>
          <w:szCs w:val="28"/>
        </w:rPr>
        <w:t>3.</w:t>
      </w:r>
      <w:r w:rsidRPr="00F758D6">
        <w:rPr>
          <w:sz w:val="28"/>
          <w:szCs w:val="28"/>
        </w:rPr>
        <w:tab/>
        <w:t>В министерство строительства, жилищно-коммунального и дорожного хозяйства Оренбургской области направлены замечания и предложения в порядок сбора твердых коммунальных отходов (в том числе их раздельного сбора) на территории Оренбургской области.</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t xml:space="preserve">Во исполнение Указа Президента Российской Федерации от 05 января 2016 года № 7 «О проведении в Российской Федерации Года экологии» разработан «План основных мероприятий по проведению в городе Оренбурге Года экологии», утвержденный Главой города Оренбурга Е.С. </w:t>
      </w:r>
      <w:proofErr w:type="spellStart"/>
      <w:r w:rsidRPr="00510470">
        <w:rPr>
          <w:sz w:val="28"/>
          <w:szCs w:val="28"/>
        </w:rPr>
        <w:t>Араповым</w:t>
      </w:r>
      <w:proofErr w:type="spellEnd"/>
      <w:r w:rsidRPr="00510470">
        <w:rPr>
          <w:sz w:val="28"/>
          <w:szCs w:val="28"/>
        </w:rPr>
        <w:t>.</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lastRenderedPageBreak/>
        <w:t>Основной акцент в реализации Плана к Году Экологии уделен мероприятиям экологического просвещения и формирования экологической культуры населения города Оренбурга.</w:t>
      </w:r>
    </w:p>
    <w:p w:rsidR="00FF5DAD" w:rsidRDefault="00FF5DAD" w:rsidP="00510470">
      <w:pPr>
        <w:pStyle w:val="a8"/>
        <w:shd w:val="clear" w:color="auto" w:fill="FFFFFF"/>
        <w:spacing w:after="0"/>
        <w:ind w:firstLine="709"/>
        <w:contextualSpacing/>
        <w:jc w:val="both"/>
        <w:rPr>
          <w:sz w:val="28"/>
          <w:szCs w:val="28"/>
        </w:rPr>
      </w:pPr>
      <w:r w:rsidRPr="00FF5DAD">
        <w:rPr>
          <w:sz w:val="28"/>
          <w:szCs w:val="28"/>
        </w:rPr>
        <w:t xml:space="preserve">Реализация мероприятий экологического просвещения предусмотрена муниципальной программой «Охрана окружающей среды в городе Оренбурге» на 2014–2020 годы, утвержденной постановлением администрации города Оренбурга от 05.08.2013 № 2034-п. Общий объем финансирования в 2017 г. – 100,0 тыс. руб. </w:t>
      </w:r>
    </w:p>
    <w:p w:rsidR="00510470" w:rsidRPr="00510470" w:rsidRDefault="00510470" w:rsidP="00510470">
      <w:pPr>
        <w:pStyle w:val="a8"/>
        <w:shd w:val="clear" w:color="auto" w:fill="FFFFFF"/>
        <w:spacing w:after="0"/>
        <w:ind w:firstLine="709"/>
        <w:contextualSpacing/>
        <w:jc w:val="both"/>
        <w:rPr>
          <w:sz w:val="28"/>
          <w:szCs w:val="28"/>
        </w:rPr>
      </w:pPr>
      <w:proofErr w:type="gramStart"/>
      <w:r w:rsidRPr="00510470">
        <w:rPr>
          <w:sz w:val="28"/>
          <w:szCs w:val="28"/>
        </w:rPr>
        <w:t>С целью поддержания экологического движения, формирования нового экологического мышления и экологической культуры, воспитания молодежи через практическую природоохранную деятельность с апреля по сентябрь 2017 года организованы и проведены «Дни защиты от экологической опасности», в которых приняли участие более 2 000 предприятий и организаций различных форм собственности из них более 240 образовательных учреждений и творческих объединений города.</w:t>
      </w:r>
      <w:proofErr w:type="gramEnd"/>
      <w:r w:rsidR="00D8133C" w:rsidRPr="00D8133C">
        <w:t xml:space="preserve"> </w:t>
      </w:r>
      <w:r w:rsidR="00D8133C" w:rsidRPr="00D8133C">
        <w:rPr>
          <w:sz w:val="28"/>
          <w:szCs w:val="28"/>
        </w:rPr>
        <w:t>На награждение победителей участников экологических акций из городского бюджета выделено 30,0 тыс. руб. для МУДОД «Детский эколого-биологический центр».</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t>В рамках Дней защиты третий год подряд на территории города Оренбурга проводится акция «Час Земли». В зданиях администрации города Оренбурга, Северного и Южного округов на час отключается подсветка. К участию в акции на территории города присоединились ООО «Газпром добыча Оренбург», ФГБОУ ВПО «Оренбургский государственный университет», ПАО «Сбербанк России» и другие.</w:t>
      </w:r>
    </w:p>
    <w:p w:rsidR="00B721F0" w:rsidRDefault="00B721F0" w:rsidP="00510470">
      <w:pPr>
        <w:pStyle w:val="a8"/>
        <w:shd w:val="clear" w:color="auto" w:fill="FFFFFF"/>
        <w:spacing w:after="0"/>
        <w:ind w:firstLine="709"/>
        <w:contextualSpacing/>
        <w:jc w:val="both"/>
        <w:rPr>
          <w:sz w:val="28"/>
          <w:szCs w:val="28"/>
        </w:rPr>
      </w:pPr>
      <w:r w:rsidRPr="00B721F0">
        <w:rPr>
          <w:sz w:val="28"/>
          <w:szCs w:val="28"/>
        </w:rPr>
        <w:t>С целью выявления и пресечения незаконной торговли редкими и исчезающими видами цветов и растений также ежегодно проводится акция «Внимание! Первоцветы!». В результате совместной работы с участковыми полиции, студентами экологических факультетов ВУЗов в 2014‒2017 гг. отмечено значительное снижение числа фактов продажи первоцветов.</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t>05.06.2017 в рамках Всемирного дня охраны окружающей среды проведена акция по сбору от населения и утилизации опасных отходов «Сдай ртутную лампу и батарейку!». По результатам акции собрано более 1200 ед. ртутьсодержащих отходов, и порядка 30 кг элементов питания. Кроме того, в «День эколога» организовано проведение уроков экологического просвещения в загородных детских оздоровительных лагерях.</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t>23.06.2017 администрация города Оренбурга  совместно с администрацией Северного округа организована и проведена экологическая акция «Чистая Сакмара». В ходе проведения акции очищены от мусора прибрежные зоны реки Сакмары. В акции приняли участие более 100 человек. В их числе сотрудники администрации города Оренбурга и администрации Промышленного района Северного округа, волонтеры, студенты ФГБУ ВПО «Самарский государственный университет путей сообщения» и другие.</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t>07.07.2017 года на базе ДООЛ «Юность» в городе Оренбурге состоялся фестиваль «Стань природе другом!» среди загородных детских лагерей, в ходе которого проведены конкурсы по экологической тематике, защита творческих работ на экологической выставке, конкурс рисунков «Экологический вернисаж» и другие мероприятия с последующим награждением победителей и призеров.</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lastRenderedPageBreak/>
        <w:t>В соответствии с планом мероприятий по охране прибрежных защитных полос рек Урал и Сакмара на 2017 год, утвержденным постановлением администрации города Оренбурга от 15.05.2017 № 1585-п, 22 сентября 2017 года проведена общегородская экологическая акция «Нашим рекам – чистые берега!».</w:t>
      </w:r>
    </w:p>
    <w:p w:rsidR="00510470" w:rsidRPr="00510470" w:rsidRDefault="00510470" w:rsidP="00510470">
      <w:pPr>
        <w:pStyle w:val="a8"/>
        <w:shd w:val="clear" w:color="auto" w:fill="FFFFFF"/>
        <w:spacing w:after="0"/>
        <w:ind w:firstLine="709"/>
        <w:contextualSpacing/>
        <w:jc w:val="both"/>
        <w:rPr>
          <w:sz w:val="28"/>
          <w:szCs w:val="28"/>
        </w:rPr>
      </w:pPr>
      <w:r w:rsidRPr="00510470">
        <w:rPr>
          <w:sz w:val="28"/>
          <w:szCs w:val="28"/>
        </w:rPr>
        <w:t>В ходе проведения акции на одном из центральных участков в районе автомобильного моста через р. Урал департаментом градостроительства и земельных отношений проведена игра «</w:t>
      </w:r>
      <w:proofErr w:type="spellStart"/>
      <w:r w:rsidRPr="00510470">
        <w:rPr>
          <w:sz w:val="28"/>
          <w:szCs w:val="28"/>
        </w:rPr>
        <w:t>ЭкоСпорт</w:t>
      </w:r>
      <w:proofErr w:type="spellEnd"/>
      <w:r w:rsidRPr="00510470">
        <w:rPr>
          <w:sz w:val="28"/>
          <w:szCs w:val="28"/>
        </w:rPr>
        <w:t>» по раздельному сбору мусора, в рамках мероприятий федерального приоритетного проекта «Комфортная городская среда». Участники игры, разделившись на две команды, осуществляли раздельный сбор мусора в пакеты определенных цветов. По итогам командам вручили дипломы, благодарности и сладкие подарки.</w:t>
      </w:r>
    </w:p>
    <w:p w:rsidR="00510470" w:rsidRDefault="00510470" w:rsidP="00510470">
      <w:pPr>
        <w:pStyle w:val="a8"/>
        <w:shd w:val="clear" w:color="auto" w:fill="FFFFFF"/>
        <w:spacing w:after="0"/>
        <w:ind w:firstLine="709"/>
        <w:contextualSpacing/>
        <w:jc w:val="both"/>
        <w:rPr>
          <w:sz w:val="28"/>
          <w:szCs w:val="28"/>
        </w:rPr>
      </w:pPr>
      <w:proofErr w:type="gramStart"/>
      <w:r w:rsidRPr="00510470">
        <w:rPr>
          <w:sz w:val="28"/>
          <w:szCs w:val="28"/>
        </w:rPr>
        <w:t xml:space="preserve">Всего в акции «Нашим рекам – чистые берега!» приняли участие более 1500 человек: сотрудники администрации города Оренбурга и округов, муниципальных учреждений, работники предприятий и организаций, садовые общества, студенты и учащиеся образовательных учреждений жители пос. </w:t>
      </w:r>
      <w:proofErr w:type="spellStart"/>
      <w:r w:rsidRPr="00510470">
        <w:rPr>
          <w:sz w:val="28"/>
          <w:szCs w:val="28"/>
        </w:rPr>
        <w:t>Бердянка</w:t>
      </w:r>
      <w:proofErr w:type="spellEnd"/>
      <w:r w:rsidRPr="00510470">
        <w:rPr>
          <w:sz w:val="28"/>
          <w:szCs w:val="28"/>
        </w:rPr>
        <w:t xml:space="preserve">, Городище, </w:t>
      </w:r>
      <w:proofErr w:type="spellStart"/>
      <w:r w:rsidRPr="00510470">
        <w:rPr>
          <w:sz w:val="28"/>
          <w:szCs w:val="28"/>
        </w:rPr>
        <w:t>Нижнесакмарский</w:t>
      </w:r>
      <w:proofErr w:type="spellEnd"/>
      <w:r w:rsidRPr="00510470">
        <w:rPr>
          <w:sz w:val="28"/>
          <w:szCs w:val="28"/>
        </w:rPr>
        <w:t xml:space="preserve">, им. Куйбышева, с. Пруды, п. </w:t>
      </w:r>
      <w:proofErr w:type="spellStart"/>
      <w:r w:rsidRPr="00510470">
        <w:rPr>
          <w:sz w:val="28"/>
          <w:szCs w:val="28"/>
        </w:rPr>
        <w:t>Самородово</w:t>
      </w:r>
      <w:proofErr w:type="spellEnd"/>
      <w:r w:rsidRPr="00510470">
        <w:rPr>
          <w:sz w:val="28"/>
          <w:szCs w:val="28"/>
        </w:rPr>
        <w:t xml:space="preserve">, с. </w:t>
      </w:r>
      <w:proofErr w:type="spellStart"/>
      <w:r w:rsidRPr="00510470">
        <w:rPr>
          <w:sz w:val="28"/>
          <w:szCs w:val="28"/>
        </w:rPr>
        <w:t>Краснохолм</w:t>
      </w:r>
      <w:proofErr w:type="spellEnd"/>
      <w:r w:rsidRPr="00510470">
        <w:rPr>
          <w:sz w:val="28"/>
          <w:szCs w:val="28"/>
        </w:rPr>
        <w:t>, п. Каргала.</w:t>
      </w:r>
      <w:proofErr w:type="gramEnd"/>
      <w:r w:rsidRPr="00510470">
        <w:rPr>
          <w:sz w:val="28"/>
          <w:szCs w:val="28"/>
        </w:rPr>
        <w:t xml:space="preserve"> По результатам проведения акции в прибрежных зонах водоемов собрано 9 автомобилей мусора, оставленного горожанами после окончания летнего сезона.</w:t>
      </w:r>
    </w:p>
    <w:p w:rsidR="00D8133C" w:rsidRPr="00510470" w:rsidRDefault="00D8133C" w:rsidP="00510470">
      <w:pPr>
        <w:pStyle w:val="a8"/>
        <w:shd w:val="clear" w:color="auto" w:fill="FFFFFF"/>
        <w:spacing w:after="0"/>
        <w:ind w:firstLine="709"/>
        <w:contextualSpacing/>
        <w:jc w:val="both"/>
        <w:rPr>
          <w:sz w:val="28"/>
          <w:szCs w:val="28"/>
        </w:rPr>
      </w:pPr>
      <w:proofErr w:type="gramStart"/>
      <w:r w:rsidRPr="00D8133C">
        <w:rPr>
          <w:sz w:val="28"/>
          <w:szCs w:val="28"/>
        </w:rPr>
        <w:t xml:space="preserve">Кроме того, за активное участие в организации и проведении городских экологических акций, в том числе в акции «Нашим рекам – чистые берега!», благодарностью Главы города Оренбурга награждены Сметанина Е.В. ведущий инженер по охране окружающей среды Южно-Уральского филиала ООО «Газпром </w:t>
      </w:r>
      <w:proofErr w:type="spellStart"/>
      <w:r w:rsidRPr="00D8133C">
        <w:rPr>
          <w:sz w:val="28"/>
          <w:szCs w:val="28"/>
        </w:rPr>
        <w:t>энерго</w:t>
      </w:r>
      <w:proofErr w:type="spellEnd"/>
      <w:r w:rsidRPr="00D8133C">
        <w:rPr>
          <w:sz w:val="28"/>
          <w:szCs w:val="28"/>
        </w:rPr>
        <w:t>», Неверов И.В. педагог ФГКОУ «Оренбургское кадетское училище», Колесникова И.А. доцент кафедры общей биологии, экологии и методики обучения биологии</w:t>
      </w:r>
      <w:proofErr w:type="gramEnd"/>
      <w:r w:rsidRPr="00D8133C">
        <w:rPr>
          <w:sz w:val="28"/>
          <w:szCs w:val="28"/>
        </w:rPr>
        <w:t xml:space="preserve"> ФГУБОУ ВО «ОГПУ», Радченко Е.В. заместитель начальника отдела по социальной и воспитательной работе ФГБОУ ВПО «ОГУ».</w:t>
      </w:r>
    </w:p>
    <w:p w:rsidR="005A0571" w:rsidRPr="005A0571" w:rsidRDefault="005A0571" w:rsidP="005A0571">
      <w:pPr>
        <w:pStyle w:val="a8"/>
        <w:shd w:val="clear" w:color="auto" w:fill="FFFFFF"/>
        <w:spacing w:after="0"/>
        <w:ind w:firstLine="709"/>
        <w:contextualSpacing/>
        <w:jc w:val="both"/>
        <w:rPr>
          <w:sz w:val="28"/>
          <w:szCs w:val="28"/>
        </w:rPr>
      </w:pPr>
      <w:r w:rsidRPr="005A0571">
        <w:rPr>
          <w:sz w:val="28"/>
          <w:szCs w:val="28"/>
        </w:rPr>
        <w:t>В целях формирования экологической культуры подрастающего поколения, воспитания бережного отношения к природе, чувства ответственности за состояние окружающей среды города Оренбурга в 2017 году отделом организован и проведен конкурс детского рисунка на экологическую тематику «Экологический символ города Оренбурга» (постановление администрации города Оренбурга от 11.08.2017 № 3297-п). В конкурсе приняли участие более 300 работ. 17 ноября 2017 года состоялось награждение победителей конкурса детского рисунка на экологическую тематику «Экологический символ города Оренбурга» в МАУДО «Детский эколого-биологический центр» г. Оренбурга. Победители награждены дипломами и памятными подарками – подарочными картами на  приобретение товаров для детского творчества.</w:t>
      </w:r>
    </w:p>
    <w:p w:rsidR="00BD5049" w:rsidRDefault="005A0571" w:rsidP="005A0571">
      <w:pPr>
        <w:pStyle w:val="a8"/>
        <w:shd w:val="clear" w:color="auto" w:fill="FFFFFF"/>
        <w:spacing w:after="0"/>
        <w:ind w:firstLine="709"/>
        <w:contextualSpacing/>
        <w:jc w:val="both"/>
        <w:rPr>
          <w:sz w:val="28"/>
          <w:szCs w:val="28"/>
        </w:rPr>
      </w:pPr>
      <w:r w:rsidRPr="005A0571">
        <w:rPr>
          <w:sz w:val="28"/>
          <w:szCs w:val="28"/>
        </w:rPr>
        <w:t xml:space="preserve">В целях повышения уровня экологического мастерства педагогов в сфере экологического воспитания в ноябре-декабре 2017 года отделом организован и проведен конкурс «Лучший экологический урок», среди учителей начальных классов образовательных учреждений города. На конкурс  поступило 23 работы из 18 школ города. По итогам заседания конкурсной комиссии определены победители. Ими стали учителя из МОАУ «СОШ №67», МОБУ «СОШ № 31», </w:t>
      </w:r>
    </w:p>
    <w:p w:rsidR="00BD5049" w:rsidRDefault="00BD5049" w:rsidP="005A0571">
      <w:pPr>
        <w:pStyle w:val="a8"/>
        <w:shd w:val="clear" w:color="auto" w:fill="FFFFFF"/>
        <w:spacing w:after="0"/>
        <w:ind w:firstLine="709"/>
        <w:contextualSpacing/>
        <w:jc w:val="both"/>
        <w:rPr>
          <w:sz w:val="28"/>
          <w:szCs w:val="28"/>
        </w:rPr>
      </w:pPr>
    </w:p>
    <w:p w:rsidR="005A0571" w:rsidRDefault="005A0571" w:rsidP="00BD5049">
      <w:pPr>
        <w:pStyle w:val="a8"/>
        <w:shd w:val="clear" w:color="auto" w:fill="FFFFFF"/>
        <w:spacing w:after="0"/>
        <w:contextualSpacing/>
        <w:jc w:val="both"/>
        <w:rPr>
          <w:sz w:val="28"/>
          <w:szCs w:val="28"/>
        </w:rPr>
      </w:pPr>
      <w:r w:rsidRPr="005A0571">
        <w:rPr>
          <w:sz w:val="28"/>
          <w:szCs w:val="28"/>
        </w:rPr>
        <w:lastRenderedPageBreak/>
        <w:t>МОБУ «СОШ № 23». Победители награждены дипломами I, II и III степени, а также памятными подарками.</w:t>
      </w:r>
    </w:p>
    <w:p w:rsidR="005A0571" w:rsidRDefault="007D5825" w:rsidP="005A0571">
      <w:pPr>
        <w:pStyle w:val="a8"/>
        <w:shd w:val="clear" w:color="auto" w:fill="FFFFFF"/>
        <w:spacing w:after="0"/>
        <w:ind w:firstLine="709"/>
        <w:contextualSpacing/>
        <w:jc w:val="both"/>
        <w:rPr>
          <w:sz w:val="28"/>
          <w:szCs w:val="28"/>
        </w:rPr>
      </w:pPr>
      <w:r w:rsidRPr="007D5825">
        <w:rPr>
          <w:sz w:val="28"/>
          <w:szCs w:val="28"/>
        </w:rPr>
        <w:t xml:space="preserve">Отделом разработано постановление администрации города Оренбурга, которое утверждено </w:t>
      </w:r>
      <w:r w:rsidRPr="00D8133C">
        <w:rPr>
          <w:sz w:val="28"/>
          <w:szCs w:val="28"/>
        </w:rPr>
        <w:t>26.06.2017 № 2557-п</w:t>
      </w:r>
      <w:r w:rsidRPr="007D5825">
        <w:rPr>
          <w:sz w:val="28"/>
          <w:szCs w:val="28"/>
        </w:rPr>
        <w:t xml:space="preserve"> </w:t>
      </w:r>
      <w:r w:rsidR="005A0571">
        <w:rPr>
          <w:sz w:val="28"/>
          <w:szCs w:val="28"/>
        </w:rPr>
        <w:t>«О</w:t>
      </w:r>
      <w:r w:rsidRPr="007D5825">
        <w:rPr>
          <w:sz w:val="28"/>
          <w:szCs w:val="28"/>
        </w:rPr>
        <w:t xml:space="preserve"> внесении изменений  в Порядок предоставления за счет средств бюджета города Оренбурга субсидий субъектам малого и среднего предпринимательства, осуществляющим деятельность в сфере охра</w:t>
      </w:r>
      <w:r w:rsidR="00D8133C">
        <w:rPr>
          <w:sz w:val="28"/>
          <w:szCs w:val="28"/>
        </w:rPr>
        <w:t>ны окружающей среды</w:t>
      </w:r>
      <w:r w:rsidR="005A0571">
        <w:rPr>
          <w:sz w:val="28"/>
          <w:szCs w:val="28"/>
        </w:rPr>
        <w:t>»</w:t>
      </w:r>
      <w:r w:rsidR="00D8133C">
        <w:rPr>
          <w:sz w:val="28"/>
          <w:szCs w:val="28"/>
        </w:rPr>
        <w:t xml:space="preserve">  (утв. пост</w:t>
      </w:r>
      <w:proofErr w:type="gramStart"/>
      <w:r w:rsidR="00D8133C">
        <w:rPr>
          <w:sz w:val="28"/>
          <w:szCs w:val="28"/>
        </w:rPr>
        <w:t>.</w:t>
      </w:r>
      <w:proofErr w:type="gramEnd"/>
      <w:r w:rsidR="00D8133C">
        <w:rPr>
          <w:sz w:val="28"/>
          <w:szCs w:val="28"/>
        </w:rPr>
        <w:t xml:space="preserve"> </w:t>
      </w:r>
      <w:proofErr w:type="gramStart"/>
      <w:r w:rsidRPr="007D5825">
        <w:rPr>
          <w:sz w:val="28"/>
          <w:szCs w:val="28"/>
        </w:rPr>
        <w:t>а</w:t>
      </w:r>
      <w:proofErr w:type="gramEnd"/>
      <w:r w:rsidRPr="007D5825">
        <w:rPr>
          <w:sz w:val="28"/>
          <w:szCs w:val="28"/>
        </w:rPr>
        <w:t>дмин. г.</w:t>
      </w:r>
      <w:r w:rsidR="00D8133C">
        <w:rPr>
          <w:sz w:val="28"/>
          <w:szCs w:val="28"/>
        </w:rPr>
        <w:t xml:space="preserve"> </w:t>
      </w:r>
      <w:r w:rsidRPr="007D5825">
        <w:rPr>
          <w:sz w:val="28"/>
          <w:szCs w:val="28"/>
        </w:rPr>
        <w:t>Оренбурга от 19.12.2016</w:t>
      </w:r>
      <w:r w:rsidR="005A0571">
        <w:rPr>
          <w:sz w:val="28"/>
          <w:szCs w:val="28"/>
        </w:rPr>
        <w:t xml:space="preserve"> </w:t>
      </w:r>
      <w:r w:rsidRPr="007D5825">
        <w:rPr>
          <w:sz w:val="28"/>
          <w:szCs w:val="28"/>
        </w:rPr>
        <w:t>№ 3966-п).</w:t>
      </w:r>
    </w:p>
    <w:p w:rsidR="001200BC" w:rsidRDefault="00450B53" w:rsidP="005A0571">
      <w:pPr>
        <w:pStyle w:val="a8"/>
        <w:shd w:val="clear" w:color="auto" w:fill="FFFFFF"/>
        <w:spacing w:after="0"/>
        <w:ind w:firstLine="709"/>
        <w:contextualSpacing/>
        <w:jc w:val="both"/>
        <w:rPr>
          <w:b/>
          <w:noProof/>
          <w:sz w:val="28"/>
          <w:szCs w:val="28"/>
        </w:rPr>
      </w:pPr>
      <w:r w:rsidRPr="003449B0">
        <w:rPr>
          <w:sz w:val="28"/>
          <w:szCs w:val="28"/>
        </w:rPr>
        <w:t xml:space="preserve">Специалисты </w:t>
      </w:r>
      <w:r w:rsidR="00935218" w:rsidRPr="003449B0">
        <w:rPr>
          <w:sz w:val="28"/>
          <w:szCs w:val="28"/>
        </w:rPr>
        <w:t xml:space="preserve">отдела осуществляют консультативную помощь в расчете платы за негативное воздействие на окружающую среду и </w:t>
      </w:r>
      <w:proofErr w:type="gramStart"/>
      <w:r w:rsidR="00935218" w:rsidRPr="003449B0">
        <w:rPr>
          <w:sz w:val="28"/>
          <w:szCs w:val="28"/>
        </w:rPr>
        <w:t>контролю за</w:t>
      </w:r>
      <w:proofErr w:type="gramEnd"/>
      <w:r w:rsidR="00935218" w:rsidRPr="003449B0">
        <w:rPr>
          <w:sz w:val="28"/>
          <w:szCs w:val="28"/>
        </w:rPr>
        <w:t xml:space="preserve"> перечислением организациями и предприятиями города. За 201</w:t>
      </w:r>
      <w:r w:rsidR="0052146F">
        <w:rPr>
          <w:sz w:val="28"/>
          <w:szCs w:val="28"/>
        </w:rPr>
        <w:t>7</w:t>
      </w:r>
      <w:r w:rsidR="00935218" w:rsidRPr="003449B0">
        <w:rPr>
          <w:sz w:val="28"/>
          <w:szCs w:val="28"/>
        </w:rPr>
        <w:t xml:space="preserve"> год в бюджет города поступило </w:t>
      </w:r>
      <w:r w:rsidR="0052146F">
        <w:rPr>
          <w:sz w:val="28"/>
          <w:szCs w:val="28"/>
        </w:rPr>
        <w:t xml:space="preserve"> 59,2 </w:t>
      </w:r>
      <w:r w:rsidR="00935218" w:rsidRPr="003449B0">
        <w:rPr>
          <w:sz w:val="28"/>
          <w:szCs w:val="28"/>
        </w:rPr>
        <w:t>млн. руб.</w:t>
      </w:r>
      <w:r w:rsidR="00DA6942" w:rsidRPr="003449B0">
        <w:rPr>
          <w:rStyle w:val="a7"/>
          <w:sz w:val="28"/>
          <w:szCs w:val="28"/>
        </w:rPr>
        <w:footnoteReference w:id="1"/>
      </w:r>
      <w:r w:rsidR="00935218" w:rsidRPr="003449B0">
        <w:rPr>
          <w:sz w:val="28"/>
          <w:szCs w:val="28"/>
        </w:rPr>
        <w:t xml:space="preserve"> (за аналогичный период 201</w:t>
      </w:r>
      <w:r w:rsidR="0052146F">
        <w:rPr>
          <w:sz w:val="28"/>
          <w:szCs w:val="28"/>
        </w:rPr>
        <w:t>6</w:t>
      </w:r>
      <w:r w:rsidR="00935218" w:rsidRPr="003449B0">
        <w:rPr>
          <w:sz w:val="28"/>
          <w:szCs w:val="28"/>
        </w:rPr>
        <w:t xml:space="preserve"> г. – </w:t>
      </w:r>
      <w:r w:rsidR="0052146F" w:rsidRPr="003449B0">
        <w:rPr>
          <w:sz w:val="28"/>
          <w:szCs w:val="28"/>
        </w:rPr>
        <w:t xml:space="preserve">122,7 </w:t>
      </w:r>
      <w:r w:rsidR="00935218" w:rsidRPr="003449B0">
        <w:rPr>
          <w:sz w:val="28"/>
          <w:szCs w:val="28"/>
        </w:rPr>
        <w:t>млн. руб.).</w:t>
      </w:r>
      <w:r w:rsidR="005D3D7F" w:rsidRPr="005D3D7F">
        <w:rPr>
          <w:b/>
          <w:noProof/>
          <w:sz w:val="28"/>
          <w:szCs w:val="28"/>
        </w:rPr>
        <w:t xml:space="preserve"> </w:t>
      </w:r>
    </w:p>
    <w:p w:rsidR="005D3D7F" w:rsidRDefault="005D3D7F" w:rsidP="005D3D7F">
      <w:pPr>
        <w:spacing w:after="0" w:line="240" w:lineRule="auto"/>
        <w:contextualSpacing/>
        <w:jc w:val="both"/>
        <w:rPr>
          <w:b/>
          <w:noProof/>
          <w:sz w:val="28"/>
          <w:szCs w:val="28"/>
          <w:lang w:eastAsia="ru-RU"/>
        </w:rPr>
      </w:pPr>
      <w:r w:rsidRPr="00283F49">
        <w:rPr>
          <w:b/>
          <w:noProof/>
          <w:sz w:val="28"/>
          <w:szCs w:val="28"/>
          <w:lang w:eastAsia="ru-RU"/>
        </w:rPr>
        <w:drawing>
          <wp:inline distT="0" distB="0" distL="0" distR="0" wp14:anchorId="4F450199" wp14:editId="255B19B5">
            <wp:extent cx="6100550" cy="2217761"/>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3D7F" w:rsidRDefault="005D3D7F" w:rsidP="003449B0">
      <w:pPr>
        <w:spacing w:after="0" w:line="240" w:lineRule="auto"/>
        <w:ind w:firstLine="709"/>
        <w:contextualSpacing/>
        <w:jc w:val="both"/>
        <w:rPr>
          <w:b/>
          <w:noProof/>
          <w:sz w:val="28"/>
          <w:szCs w:val="28"/>
          <w:lang w:eastAsia="ru-RU"/>
        </w:rPr>
      </w:pPr>
    </w:p>
    <w:p w:rsidR="005D3D7F" w:rsidRPr="003449B0" w:rsidRDefault="005D3D7F" w:rsidP="003449B0">
      <w:pPr>
        <w:spacing w:after="0" w:line="240" w:lineRule="auto"/>
        <w:ind w:firstLine="709"/>
        <w:contextualSpacing/>
        <w:jc w:val="both"/>
        <w:rPr>
          <w:rFonts w:ascii="Times New Roman" w:eastAsia="Times New Roman" w:hAnsi="Times New Roman" w:cs="Times New Roman"/>
          <w:sz w:val="28"/>
          <w:szCs w:val="28"/>
          <w:lang w:eastAsia="ru-RU"/>
        </w:rPr>
      </w:pPr>
    </w:p>
    <w:p w:rsidR="00FD5003" w:rsidRPr="00283F49" w:rsidRDefault="00FD5003" w:rsidP="00AF09E4">
      <w:pPr>
        <w:spacing w:after="0" w:line="240" w:lineRule="auto"/>
        <w:jc w:val="both"/>
        <w:rPr>
          <w:rFonts w:ascii="Times New Roman" w:eastAsia="Times New Roman" w:hAnsi="Times New Roman" w:cs="Times New Roman"/>
          <w:sz w:val="28"/>
          <w:szCs w:val="28"/>
          <w:lang w:eastAsia="ru-RU"/>
        </w:rPr>
      </w:pPr>
    </w:p>
    <w:p w:rsidR="004A36C4" w:rsidRPr="001200BC" w:rsidRDefault="008B5A62" w:rsidP="00AF09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935218" w:rsidRPr="00283F49">
        <w:rPr>
          <w:rFonts w:ascii="Times New Roman" w:eastAsia="Times New Roman" w:hAnsi="Times New Roman" w:cs="Times New Roman"/>
          <w:sz w:val="28"/>
          <w:szCs w:val="28"/>
          <w:lang w:eastAsia="ru-RU"/>
        </w:rPr>
        <w:t xml:space="preserve">ачальник отдела                      </w:t>
      </w:r>
      <w:r>
        <w:rPr>
          <w:rFonts w:ascii="Times New Roman" w:eastAsia="Times New Roman" w:hAnsi="Times New Roman" w:cs="Times New Roman"/>
          <w:sz w:val="28"/>
          <w:szCs w:val="28"/>
          <w:lang w:eastAsia="ru-RU"/>
        </w:rPr>
        <w:t xml:space="preserve">         </w:t>
      </w:r>
      <w:r w:rsidR="00935218" w:rsidRPr="00283F49">
        <w:rPr>
          <w:rFonts w:ascii="Times New Roman" w:eastAsia="Times New Roman" w:hAnsi="Times New Roman" w:cs="Times New Roman"/>
          <w:sz w:val="28"/>
          <w:szCs w:val="28"/>
          <w:lang w:eastAsia="ru-RU"/>
        </w:rPr>
        <w:t xml:space="preserve">                 </w:t>
      </w:r>
      <w:r w:rsidR="00AF09E4" w:rsidRPr="00283F49">
        <w:rPr>
          <w:rFonts w:ascii="Times New Roman" w:eastAsia="Times New Roman" w:hAnsi="Times New Roman" w:cs="Times New Roman"/>
          <w:sz w:val="28"/>
          <w:szCs w:val="28"/>
          <w:lang w:eastAsia="ru-RU"/>
        </w:rPr>
        <w:t xml:space="preserve">      </w:t>
      </w:r>
      <w:r w:rsidR="00935218" w:rsidRPr="00283F49">
        <w:rPr>
          <w:rFonts w:ascii="Times New Roman" w:eastAsia="Times New Roman" w:hAnsi="Times New Roman" w:cs="Times New Roman"/>
          <w:sz w:val="28"/>
          <w:szCs w:val="28"/>
          <w:lang w:eastAsia="ru-RU"/>
        </w:rPr>
        <w:t xml:space="preserve">                      </w:t>
      </w:r>
      <w:r w:rsidR="00283F49">
        <w:rPr>
          <w:rFonts w:ascii="Times New Roman" w:eastAsia="Times New Roman" w:hAnsi="Times New Roman" w:cs="Times New Roman"/>
          <w:sz w:val="28"/>
          <w:szCs w:val="28"/>
          <w:lang w:eastAsia="ru-RU"/>
        </w:rPr>
        <w:t xml:space="preserve"> </w:t>
      </w:r>
      <w:r w:rsidR="00935218" w:rsidRPr="00283F49">
        <w:rPr>
          <w:rFonts w:ascii="Times New Roman" w:eastAsia="Times New Roman" w:hAnsi="Times New Roman" w:cs="Times New Roman"/>
          <w:sz w:val="28"/>
          <w:szCs w:val="28"/>
          <w:lang w:eastAsia="ru-RU"/>
        </w:rPr>
        <w:t xml:space="preserve">         В.И. </w:t>
      </w:r>
      <w:proofErr w:type="spellStart"/>
      <w:r w:rsidR="00935218" w:rsidRPr="00283F49">
        <w:rPr>
          <w:rFonts w:ascii="Times New Roman" w:eastAsia="Times New Roman" w:hAnsi="Times New Roman" w:cs="Times New Roman"/>
          <w:sz w:val="28"/>
          <w:szCs w:val="28"/>
          <w:lang w:eastAsia="ru-RU"/>
        </w:rPr>
        <w:t>Бадру</w:t>
      </w:r>
      <w:r w:rsidR="00935218" w:rsidRPr="001200BC">
        <w:rPr>
          <w:rFonts w:ascii="Times New Roman" w:eastAsia="Times New Roman" w:hAnsi="Times New Roman" w:cs="Times New Roman"/>
          <w:sz w:val="28"/>
          <w:szCs w:val="28"/>
          <w:lang w:eastAsia="ru-RU"/>
        </w:rPr>
        <w:t>нов</w:t>
      </w:r>
      <w:proofErr w:type="spellEnd"/>
    </w:p>
    <w:sectPr w:rsidR="004A36C4" w:rsidRPr="001200BC" w:rsidSect="005D3D7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2EA" w:rsidRDefault="004722EA" w:rsidP="00306672">
      <w:pPr>
        <w:spacing w:after="0" w:line="240" w:lineRule="auto"/>
      </w:pPr>
      <w:r>
        <w:separator/>
      </w:r>
    </w:p>
  </w:endnote>
  <w:endnote w:type="continuationSeparator" w:id="0">
    <w:p w:rsidR="004722EA" w:rsidRDefault="004722EA" w:rsidP="0030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2EA" w:rsidRDefault="004722EA" w:rsidP="00306672">
      <w:pPr>
        <w:spacing w:after="0" w:line="240" w:lineRule="auto"/>
      </w:pPr>
      <w:r>
        <w:separator/>
      </w:r>
    </w:p>
  </w:footnote>
  <w:footnote w:type="continuationSeparator" w:id="0">
    <w:p w:rsidR="004722EA" w:rsidRDefault="004722EA" w:rsidP="00306672">
      <w:pPr>
        <w:spacing w:after="0" w:line="240" w:lineRule="auto"/>
      </w:pPr>
      <w:r>
        <w:continuationSeparator/>
      </w:r>
    </w:p>
  </w:footnote>
  <w:footnote w:id="1">
    <w:p w:rsidR="00DA6942" w:rsidRPr="00DA6942" w:rsidRDefault="00DA6942" w:rsidP="00DA6942">
      <w:pPr>
        <w:pStyle w:val="a5"/>
        <w:jc w:val="both"/>
        <w:rPr>
          <w:sz w:val="24"/>
          <w:szCs w:val="24"/>
        </w:rPr>
      </w:pPr>
      <w:r w:rsidRPr="00DA6942">
        <w:rPr>
          <w:rStyle w:val="a7"/>
          <w:sz w:val="24"/>
          <w:szCs w:val="24"/>
        </w:rPr>
        <w:footnoteRef/>
      </w:r>
      <w:r w:rsidRPr="00DA6942">
        <w:rPr>
          <w:sz w:val="24"/>
          <w:szCs w:val="24"/>
        </w:rPr>
        <w:t xml:space="preserve"> </w:t>
      </w:r>
      <w:r w:rsidRPr="00DA6942">
        <w:rPr>
          <w:rFonts w:ascii="Times New Roman" w:eastAsia="Times New Roman" w:hAnsi="Times New Roman" w:cs="Times New Roman"/>
          <w:i/>
          <w:sz w:val="24"/>
          <w:szCs w:val="24"/>
          <w:lang w:eastAsia="ru-RU"/>
        </w:rPr>
        <w:t>Увеличение поступления платы связано с применением повышающего коэффициента (К = 25) при взимании ПНВОС за выбросы загрязняющих веществ, образующихся при сжигании на факельных установках</w:t>
      </w:r>
      <w:r>
        <w:rPr>
          <w:rFonts w:ascii="Times New Roman" w:eastAsia="Times New Roman" w:hAnsi="Times New Roman" w:cs="Times New Roman"/>
          <w:i/>
          <w:sz w:val="24"/>
          <w:szCs w:val="24"/>
          <w:lang w:eastAsia="ru-RU"/>
        </w:rPr>
        <w:t xml:space="preserve"> </w:t>
      </w:r>
      <w:r w:rsidRPr="00DA6942">
        <w:rPr>
          <w:rFonts w:ascii="Times New Roman" w:eastAsia="Times New Roman" w:hAnsi="Times New Roman" w:cs="Times New Roman"/>
          <w:i/>
          <w:sz w:val="24"/>
          <w:szCs w:val="24"/>
          <w:lang w:eastAsia="ru-RU"/>
        </w:rPr>
        <w:t xml:space="preserve">и (или) рассеивании попутного нефтяного газа (ПНГ) (в ред. Постановления Правительства РФ </w:t>
      </w:r>
      <w:r w:rsidRPr="00DA6942">
        <w:rPr>
          <w:rFonts w:ascii="Times New Roman" w:hAnsi="Times New Roman" w:cs="Times New Roman"/>
          <w:bCs/>
          <w:i/>
          <w:sz w:val="24"/>
          <w:szCs w:val="24"/>
        </w:rPr>
        <w:t>от 08.11.2012 № 1148).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B7"/>
    <w:rsid w:val="00000CFB"/>
    <w:rsid w:val="00003CB7"/>
    <w:rsid w:val="00045A22"/>
    <w:rsid w:val="00053D6A"/>
    <w:rsid w:val="000605B7"/>
    <w:rsid w:val="00075514"/>
    <w:rsid w:val="000C3B18"/>
    <w:rsid w:val="000D2CE0"/>
    <w:rsid w:val="000D4206"/>
    <w:rsid w:val="00105E48"/>
    <w:rsid w:val="001200BC"/>
    <w:rsid w:val="0012098E"/>
    <w:rsid w:val="001365EA"/>
    <w:rsid w:val="00143360"/>
    <w:rsid w:val="00167F2C"/>
    <w:rsid w:val="001721DF"/>
    <w:rsid w:val="00175788"/>
    <w:rsid w:val="00180B6D"/>
    <w:rsid w:val="001A1ED6"/>
    <w:rsid w:val="001A5DE7"/>
    <w:rsid w:val="001A66BC"/>
    <w:rsid w:val="001B16E9"/>
    <w:rsid w:val="001B5716"/>
    <w:rsid w:val="001C0373"/>
    <w:rsid w:val="001D09BC"/>
    <w:rsid w:val="001D5C97"/>
    <w:rsid w:val="001E2EB7"/>
    <w:rsid w:val="001E35C8"/>
    <w:rsid w:val="001F7E49"/>
    <w:rsid w:val="00204355"/>
    <w:rsid w:val="00207EB5"/>
    <w:rsid w:val="00253AB6"/>
    <w:rsid w:val="0026194A"/>
    <w:rsid w:val="00266A95"/>
    <w:rsid w:val="00273D34"/>
    <w:rsid w:val="00283F49"/>
    <w:rsid w:val="00295F77"/>
    <w:rsid w:val="002B01F1"/>
    <w:rsid w:val="002B2451"/>
    <w:rsid w:val="002D27D1"/>
    <w:rsid w:val="0030662F"/>
    <w:rsid w:val="00306672"/>
    <w:rsid w:val="00314792"/>
    <w:rsid w:val="003357D5"/>
    <w:rsid w:val="003449B0"/>
    <w:rsid w:val="003539AE"/>
    <w:rsid w:val="003A4B44"/>
    <w:rsid w:val="00401B6E"/>
    <w:rsid w:val="0042574F"/>
    <w:rsid w:val="00450B53"/>
    <w:rsid w:val="004722EA"/>
    <w:rsid w:val="0048403C"/>
    <w:rsid w:val="004977FE"/>
    <w:rsid w:val="004A36C4"/>
    <w:rsid w:val="004B2325"/>
    <w:rsid w:val="004B4F11"/>
    <w:rsid w:val="004D3D2C"/>
    <w:rsid w:val="004E2B22"/>
    <w:rsid w:val="004E7A9F"/>
    <w:rsid w:val="00510470"/>
    <w:rsid w:val="0052146F"/>
    <w:rsid w:val="00544CD6"/>
    <w:rsid w:val="005530EB"/>
    <w:rsid w:val="00570563"/>
    <w:rsid w:val="005A0571"/>
    <w:rsid w:val="005A6A0D"/>
    <w:rsid w:val="005D3D7F"/>
    <w:rsid w:val="005E5859"/>
    <w:rsid w:val="005E603F"/>
    <w:rsid w:val="005F19FA"/>
    <w:rsid w:val="0060608D"/>
    <w:rsid w:val="00610117"/>
    <w:rsid w:val="00612716"/>
    <w:rsid w:val="00616A09"/>
    <w:rsid w:val="00617B2D"/>
    <w:rsid w:val="006247BC"/>
    <w:rsid w:val="006277DC"/>
    <w:rsid w:val="00647D7C"/>
    <w:rsid w:val="006856BD"/>
    <w:rsid w:val="006D0213"/>
    <w:rsid w:val="006F44D4"/>
    <w:rsid w:val="006F554E"/>
    <w:rsid w:val="007003C8"/>
    <w:rsid w:val="00703CFE"/>
    <w:rsid w:val="00721659"/>
    <w:rsid w:val="00730244"/>
    <w:rsid w:val="007670CC"/>
    <w:rsid w:val="0078554C"/>
    <w:rsid w:val="007A5180"/>
    <w:rsid w:val="007D5825"/>
    <w:rsid w:val="007F21E6"/>
    <w:rsid w:val="007F33D9"/>
    <w:rsid w:val="008048A2"/>
    <w:rsid w:val="008674C1"/>
    <w:rsid w:val="00882D3F"/>
    <w:rsid w:val="00896197"/>
    <w:rsid w:val="008A596C"/>
    <w:rsid w:val="008B5A62"/>
    <w:rsid w:val="008E5CAA"/>
    <w:rsid w:val="00935218"/>
    <w:rsid w:val="00957A56"/>
    <w:rsid w:val="009C1445"/>
    <w:rsid w:val="009C14D2"/>
    <w:rsid w:val="009E6793"/>
    <w:rsid w:val="00A10B69"/>
    <w:rsid w:val="00A17235"/>
    <w:rsid w:val="00A42B65"/>
    <w:rsid w:val="00A65300"/>
    <w:rsid w:val="00A74A56"/>
    <w:rsid w:val="00A9401E"/>
    <w:rsid w:val="00AD26B0"/>
    <w:rsid w:val="00AE5801"/>
    <w:rsid w:val="00AF09E4"/>
    <w:rsid w:val="00B3469C"/>
    <w:rsid w:val="00B34A86"/>
    <w:rsid w:val="00B54397"/>
    <w:rsid w:val="00B721F0"/>
    <w:rsid w:val="00B80C03"/>
    <w:rsid w:val="00B84D92"/>
    <w:rsid w:val="00BB6360"/>
    <w:rsid w:val="00BC6232"/>
    <w:rsid w:val="00BD5049"/>
    <w:rsid w:val="00BE1689"/>
    <w:rsid w:val="00C743FC"/>
    <w:rsid w:val="00CA3BDB"/>
    <w:rsid w:val="00CC454A"/>
    <w:rsid w:val="00CD573C"/>
    <w:rsid w:val="00D054F1"/>
    <w:rsid w:val="00D32C55"/>
    <w:rsid w:val="00D8133C"/>
    <w:rsid w:val="00D81F01"/>
    <w:rsid w:val="00D91800"/>
    <w:rsid w:val="00DA2E25"/>
    <w:rsid w:val="00DA6942"/>
    <w:rsid w:val="00DD0280"/>
    <w:rsid w:val="00DD42D8"/>
    <w:rsid w:val="00DE1139"/>
    <w:rsid w:val="00DF56CE"/>
    <w:rsid w:val="00E55C36"/>
    <w:rsid w:val="00E8017D"/>
    <w:rsid w:val="00F56081"/>
    <w:rsid w:val="00F71CE7"/>
    <w:rsid w:val="00F758D6"/>
    <w:rsid w:val="00F844F8"/>
    <w:rsid w:val="00F915BB"/>
    <w:rsid w:val="00FB03EF"/>
    <w:rsid w:val="00FD5003"/>
    <w:rsid w:val="00FE7DC9"/>
    <w:rsid w:val="00FF46F5"/>
    <w:rsid w:val="00FF5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2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218"/>
    <w:rPr>
      <w:rFonts w:ascii="Tahoma" w:hAnsi="Tahoma" w:cs="Tahoma"/>
      <w:sz w:val="16"/>
      <w:szCs w:val="16"/>
    </w:rPr>
  </w:style>
  <w:style w:type="paragraph" w:styleId="a5">
    <w:name w:val="footnote text"/>
    <w:basedOn w:val="a"/>
    <w:link w:val="a6"/>
    <w:uiPriority w:val="99"/>
    <w:semiHidden/>
    <w:unhideWhenUsed/>
    <w:rsid w:val="00306672"/>
    <w:pPr>
      <w:spacing w:after="0" w:line="240" w:lineRule="auto"/>
    </w:pPr>
    <w:rPr>
      <w:sz w:val="20"/>
      <w:szCs w:val="20"/>
    </w:rPr>
  </w:style>
  <w:style w:type="character" w:customStyle="1" w:styleId="a6">
    <w:name w:val="Текст сноски Знак"/>
    <w:basedOn w:val="a0"/>
    <w:link w:val="a5"/>
    <w:uiPriority w:val="99"/>
    <w:semiHidden/>
    <w:rsid w:val="00306672"/>
    <w:rPr>
      <w:sz w:val="20"/>
      <w:szCs w:val="20"/>
    </w:rPr>
  </w:style>
  <w:style w:type="character" w:styleId="a7">
    <w:name w:val="footnote reference"/>
    <w:basedOn w:val="a0"/>
    <w:uiPriority w:val="99"/>
    <w:semiHidden/>
    <w:unhideWhenUsed/>
    <w:rsid w:val="00306672"/>
    <w:rPr>
      <w:vertAlign w:val="superscript"/>
    </w:rPr>
  </w:style>
  <w:style w:type="paragraph" w:styleId="a8">
    <w:name w:val="Normal (Web)"/>
    <w:basedOn w:val="a"/>
    <w:uiPriority w:val="99"/>
    <w:unhideWhenUsed/>
    <w:rsid w:val="004E7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066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2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218"/>
    <w:rPr>
      <w:rFonts w:ascii="Tahoma" w:hAnsi="Tahoma" w:cs="Tahoma"/>
      <w:sz w:val="16"/>
      <w:szCs w:val="16"/>
    </w:rPr>
  </w:style>
  <w:style w:type="paragraph" w:styleId="a5">
    <w:name w:val="footnote text"/>
    <w:basedOn w:val="a"/>
    <w:link w:val="a6"/>
    <w:uiPriority w:val="99"/>
    <w:semiHidden/>
    <w:unhideWhenUsed/>
    <w:rsid w:val="00306672"/>
    <w:pPr>
      <w:spacing w:after="0" w:line="240" w:lineRule="auto"/>
    </w:pPr>
    <w:rPr>
      <w:sz w:val="20"/>
      <w:szCs w:val="20"/>
    </w:rPr>
  </w:style>
  <w:style w:type="character" w:customStyle="1" w:styleId="a6">
    <w:name w:val="Текст сноски Знак"/>
    <w:basedOn w:val="a0"/>
    <w:link w:val="a5"/>
    <w:uiPriority w:val="99"/>
    <w:semiHidden/>
    <w:rsid w:val="00306672"/>
    <w:rPr>
      <w:sz w:val="20"/>
      <w:szCs w:val="20"/>
    </w:rPr>
  </w:style>
  <w:style w:type="character" w:styleId="a7">
    <w:name w:val="footnote reference"/>
    <w:basedOn w:val="a0"/>
    <w:uiPriority w:val="99"/>
    <w:semiHidden/>
    <w:unhideWhenUsed/>
    <w:rsid w:val="00306672"/>
    <w:rPr>
      <w:vertAlign w:val="superscript"/>
    </w:rPr>
  </w:style>
  <w:style w:type="paragraph" w:styleId="a8">
    <w:name w:val="Normal (Web)"/>
    <w:basedOn w:val="a"/>
    <w:uiPriority w:val="99"/>
    <w:unhideWhenUsed/>
    <w:rsid w:val="004E7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06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00">
                <a:latin typeface="Times New Roman" pitchFamily="18" charset="0"/>
                <a:cs typeface="Times New Roman" pitchFamily="18" charset="0"/>
              </a:defRPr>
            </a:pPr>
            <a:r>
              <a:rPr lang="ru-RU" sz="1300" b="0" dirty="0">
                <a:effectLst/>
                <a:latin typeface="Times New Roman" pitchFamily="18" charset="0"/>
                <a:cs typeface="Times New Roman" pitchFamily="18" charset="0"/>
              </a:rPr>
              <a:t>Сравнительный анализ платы за негативное воздействие на окружающую среду</a:t>
            </a:r>
            <a:r>
              <a:rPr lang="ru-RU" sz="1300" b="0" baseline="0" dirty="0">
                <a:effectLst/>
                <a:latin typeface="Times New Roman" pitchFamily="18" charset="0"/>
                <a:cs typeface="Times New Roman" pitchFamily="18" charset="0"/>
              </a:rPr>
              <a:t>, поступившей в бюджет города Оренбурга </a:t>
            </a:r>
          </a:p>
          <a:p>
            <a:pPr>
              <a:defRPr sz="1300">
                <a:latin typeface="Times New Roman" pitchFamily="18" charset="0"/>
                <a:cs typeface="Times New Roman" pitchFamily="18" charset="0"/>
              </a:defRPr>
            </a:pPr>
            <a:r>
              <a:rPr lang="ru-RU" sz="1300" b="0" baseline="0" dirty="0">
                <a:effectLst/>
                <a:latin typeface="Times New Roman" pitchFamily="18" charset="0"/>
                <a:cs typeface="Times New Roman" pitchFamily="18" charset="0"/>
              </a:rPr>
              <a:t>(млн. руб.)</a:t>
            </a:r>
            <a:endParaRPr lang="ru-RU" sz="1300" b="0" dirty="0">
              <a:effectLst/>
              <a:latin typeface="Times New Roman" pitchFamily="18" charset="0"/>
              <a:cs typeface="Times New Roman" pitchFamily="18" charset="0"/>
            </a:endParaRPr>
          </a:p>
        </c:rich>
      </c:tx>
      <c:layout>
        <c:manualLayout>
          <c:xMode val="edge"/>
          <c:yMode val="edge"/>
          <c:x val="0.11742786337833755"/>
          <c:y val="5.3191489361702128E-2"/>
        </c:manualLayout>
      </c:layout>
      <c:overlay val="0"/>
    </c:title>
    <c:autoTitleDeleted val="0"/>
    <c:plotArea>
      <c:layout>
        <c:manualLayout>
          <c:layoutTarget val="inner"/>
          <c:xMode val="edge"/>
          <c:yMode val="edge"/>
          <c:x val="0.11872465713475314"/>
          <c:y val="0.42445097843782187"/>
          <c:w val="0.86665943986533844"/>
          <c:h val="0.37121575973508486"/>
        </c:manualLayout>
      </c:layout>
      <c:lineChart>
        <c:grouping val="standard"/>
        <c:varyColors val="0"/>
        <c:ser>
          <c:idx val="0"/>
          <c:order val="0"/>
          <c:tx>
            <c:strRef>
              <c:f>Лист1!$B$1</c:f>
              <c:strCache>
                <c:ptCount val="1"/>
                <c:pt idx="0">
                  <c:v>плата</c:v>
                </c:pt>
              </c:strCache>
            </c:strRef>
          </c:tx>
          <c:spPr>
            <a:ln w="19051">
              <a:solidFill>
                <a:sysClr val="windowText" lastClr="000000">
                  <a:lumMod val="65000"/>
                  <a:lumOff val="35000"/>
                </a:sysClr>
              </a:solidFill>
              <a:round/>
              <a:tailEnd type="triangle"/>
            </a:ln>
          </c:spPr>
          <c:marker>
            <c:symbol val="circle"/>
            <c:size val="4"/>
            <c:spPr>
              <a:solidFill>
                <a:sysClr val="windowText" lastClr="000000">
                  <a:lumMod val="65000"/>
                  <a:lumOff val="35000"/>
                </a:sysClr>
              </a:solidFill>
            </c:spPr>
          </c:marker>
          <c:dPt>
            <c:idx val="1"/>
            <c:bubble3D val="0"/>
            <c:spPr>
              <a:ln w="19051">
                <a:solidFill>
                  <a:sysClr val="windowText" lastClr="000000">
                    <a:lumMod val="65000"/>
                    <a:lumOff val="35000"/>
                  </a:sysClr>
                </a:solidFill>
                <a:round/>
                <a:tailEnd type="none"/>
              </a:ln>
            </c:spPr>
          </c:dPt>
          <c:dPt>
            <c:idx val="2"/>
            <c:bubble3D val="0"/>
            <c:spPr>
              <a:ln w="19051">
                <a:solidFill>
                  <a:sysClr val="windowText" lastClr="000000">
                    <a:lumMod val="65000"/>
                    <a:lumOff val="35000"/>
                  </a:sysClr>
                </a:solidFill>
                <a:round/>
                <a:tailEnd type="none"/>
              </a:ln>
            </c:spPr>
          </c:dPt>
          <c:dPt>
            <c:idx val="3"/>
            <c:bubble3D val="0"/>
            <c:spPr>
              <a:ln w="19051">
                <a:solidFill>
                  <a:sysClr val="windowText" lastClr="000000">
                    <a:lumMod val="65000"/>
                    <a:lumOff val="35000"/>
                  </a:sysClr>
                </a:solidFill>
                <a:round/>
                <a:tailEnd type="none"/>
              </a:ln>
            </c:spPr>
          </c:dPt>
          <c:dPt>
            <c:idx val="4"/>
            <c:bubble3D val="0"/>
            <c:spPr>
              <a:ln w="19051">
                <a:solidFill>
                  <a:sysClr val="windowText" lastClr="000000">
                    <a:lumMod val="65000"/>
                    <a:lumOff val="35000"/>
                  </a:sysClr>
                </a:solidFill>
                <a:round/>
                <a:tailEnd type="none"/>
              </a:ln>
            </c:spPr>
          </c:dPt>
          <c:dPt>
            <c:idx val="5"/>
            <c:bubble3D val="0"/>
            <c:spPr>
              <a:ln w="19051">
                <a:solidFill>
                  <a:sysClr val="windowText" lastClr="000000">
                    <a:lumMod val="65000"/>
                    <a:lumOff val="35000"/>
                  </a:sysClr>
                </a:solidFill>
                <a:round/>
                <a:tailEnd type="none"/>
              </a:ln>
            </c:spPr>
          </c:dPt>
          <c:dPt>
            <c:idx val="6"/>
            <c:bubble3D val="0"/>
            <c:spPr>
              <a:ln w="19051">
                <a:solidFill>
                  <a:sysClr val="windowText" lastClr="000000">
                    <a:lumMod val="65000"/>
                    <a:lumOff val="35000"/>
                  </a:sysClr>
                </a:solidFill>
                <a:round/>
                <a:tailEnd type="none"/>
              </a:ln>
            </c:spPr>
          </c:dPt>
          <c:dPt>
            <c:idx val="7"/>
            <c:bubble3D val="0"/>
            <c:spPr>
              <a:ln w="19051">
                <a:solidFill>
                  <a:sysClr val="windowText" lastClr="000000">
                    <a:lumMod val="65000"/>
                    <a:lumOff val="35000"/>
                  </a:sysClr>
                </a:solidFill>
                <a:round/>
                <a:tailEnd type="none"/>
              </a:ln>
            </c:spPr>
          </c:dPt>
          <c:dPt>
            <c:idx val="8"/>
            <c:bubble3D val="0"/>
            <c:spPr>
              <a:ln w="19051">
                <a:solidFill>
                  <a:sysClr val="windowText" lastClr="000000">
                    <a:lumMod val="65000"/>
                    <a:lumOff val="35000"/>
                  </a:sysClr>
                </a:solidFill>
                <a:round/>
                <a:tailEnd type="none"/>
              </a:ln>
            </c:spPr>
          </c:dPt>
          <c:dPt>
            <c:idx val="9"/>
            <c:marker>
              <c:symbol val="circle"/>
              <c:size val="2"/>
            </c:marker>
            <c:bubble3D val="0"/>
          </c:dPt>
          <c:dPt>
            <c:idx val="11"/>
            <c:marker>
              <c:symbol val="triangle"/>
              <c:size val="4"/>
            </c:marker>
            <c:bubble3D val="0"/>
          </c:dPt>
          <c:dLbls>
            <c:dLbl>
              <c:idx val="11"/>
              <c:layout>
                <c:manualLayout>
                  <c:x val="-7.1629158112366557E-3"/>
                  <c:y val="-6.5204227704271325E-2"/>
                </c:manualLayout>
              </c:layout>
              <c:tx>
                <c:rich>
                  <a:bodyPr/>
                  <a:lstStyle/>
                  <a:p>
                    <a:pPr>
                      <a:defRPr sz="1200" b="1">
                        <a:latin typeface="Times New Roman" pitchFamily="18" charset="0"/>
                        <a:cs typeface="Times New Roman" pitchFamily="18" charset="0"/>
                      </a:defRPr>
                    </a:pPr>
                    <a:r>
                      <a:rPr lang="ru-RU" b="0"/>
                      <a:t>59,2</a:t>
                    </a:r>
                  </a:p>
                </c:rich>
              </c:tx>
              <c:spPr/>
              <c:dLblPos val="r"/>
              <c:showLegendKey val="0"/>
              <c:showVal val="1"/>
              <c:showCatName val="0"/>
              <c:showSerName val="0"/>
              <c:showPercent val="0"/>
              <c:showBubbleSize val="0"/>
            </c:dLbl>
            <c:dLbl>
              <c:idx val="12"/>
              <c:spPr/>
              <c:txPr>
                <a:bodyPr/>
                <a:lstStyle/>
                <a:p>
                  <a:pPr>
                    <a:defRPr sz="1200" b="1" i="0" baseline="0">
                      <a:latin typeface="Times New Roman" pitchFamily="18" charset="0"/>
                      <a:cs typeface="Times New Roman" pitchFamily="18" charset="0"/>
                    </a:defRPr>
                  </a:pPr>
                  <a:endParaRPr lang="ru-RU"/>
                </a:p>
              </c:txPr>
              <c:dLblPos val="t"/>
              <c:showLegendKey val="0"/>
              <c:showVal val="1"/>
              <c:showCatName val="0"/>
              <c:showSerName val="0"/>
              <c:showPercent val="0"/>
              <c:showBubbleSize val="0"/>
            </c:dLbl>
            <c:txPr>
              <a:bodyPr/>
              <a:lstStyle/>
              <a:p>
                <a:pPr>
                  <a:defRPr sz="1200" b="0">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dLbls>
          <c:cat>
            <c:numRef>
              <c:f>Лист1!$A$2:$A$13</c:f>
              <c:numCache>
                <c:formatCode>General</c:formatCode>
                <c:ptCount val="12"/>
                <c:pt idx="0">
                  <c:v>2004</c:v>
                </c:pt>
                <c:pt idx="1">
                  <c:v>2005</c:v>
                </c:pt>
                <c:pt idx="2">
                  <c:v>2008</c:v>
                </c:pt>
                <c:pt idx="3">
                  <c:v>2009</c:v>
                </c:pt>
                <c:pt idx="4">
                  <c:v>2010</c:v>
                </c:pt>
                <c:pt idx="5">
                  <c:v>2011</c:v>
                </c:pt>
                <c:pt idx="6">
                  <c:v>2012</c:v>
                </c:pt>
                <c:pt idx="7">
                  <c:v>2013</c:v>
                </c:pt>
                <c:pt idx="8">
                  <c:v>2014</c:v>
                </c:pt>
                <c:pt idx="9">
                  <c:v>2015</c:v>
                </c:pt>
                <c:pt idx="10">
                  <c:v>2016</c:v>
                </c:pt>
                <c:pt idx="11">
                  <c:v>2017</c:v>
                </c:pt>
              </c:numCache>
            </c:numRef>
          </c:cat>
          <c:val>
            <c:numRef>
              <c:f>Лист1!$B$2:$B$13</c:f>
              <c:numCache>
                <c:formatCode>General</c:formatCode>
                <c:ptCount val="12"/>
                <c:pt idx="0">
                  <c:v>4.42</c:v>
                </c:pt>
                <c:pt idx="1">
                  <c:v>5.22</c:v>
                </c:pt>
                <c:pt idx="2">
                  <c:v>8.93</c:v>
                </c:pt>
                <c:pt idx="3">
                  <c:v>9.4600000000000009</c:v>
                </c:pt>
                <c:pt idx="4">
                  <c:v>9.65</c:v>
                </c:pt>
                <c:pt idx="5">
                  <c:v>16.48</c:v>
                </c:pt>
                <c:pt idx="6">
                  <c:v>19.16</c:v>
                </c:pt>
                <c:pt idx="7">
                  <c:v>19.899999999999999</c:v>
                </c:pt>
                <c:pt idx="8">
                  <c:v>20.3</c:v>
                </c:pt>
                <c:pt idx="9">
                  <c:v>87.3</c:v>
                </c:pt>
                <c:pt idx="10">
                  <c:v>122.7</c:v>
                </c:pt>
                <c:pt idx="11">
                  <c:v>59.2</c:v>
                </c:pt>
              </c:numCache>
            </c:numRef>
          </c:val>
          <c:smooth val="1"/>
        </c:ser>
        <c:dLbls>
          <c:showLegendKey val="0"/>
          <c:showVal val="0"/>
          <c:showCatName val="0"/>
          <c:showSerName val="0"/>
          <c:showPercent val="0"/>
          <c:showBubbleSize val="0"/>
        </c:dLbls>
        <c:hiLowLines/>
        <c:marker val="1"/>
        <c:smooth val="0"/>
        <c:axId val="188764160"/>
        <c:axId val="79860224"/>
      </c:lineChart>
      <c:catAx>
        <c:axId val="188764160"/>
        <c:scaling>
          <c:orientation val="minMax"/>
        </c:scaling>
        <c:delete val="0"/>
        <c:axPos val="b"/>
        <c:numFmt formatCode="General" sourceLinked="1"/>
        <c:majorTickMark val="cross"/>
        <c:minorTickMark val="none"/>
        <c:tickLblPos val="low"/>
        <c:spPr>
          <a:ln>
            <a:miter lim="800000"/>
            <a:tailEnd type="stealth"/>
          </a:ln>
          <a:effectLst>
            <a:innerShdw blurRad="63500" dist="50800" dir="16200000">
              <a:prstClr val="black">
                <a:alpha val="50000"/>
              </a:prstClr>
            </a:innerShdw>
          </a:effectLst>
        </c:spPr>
        <c:txPr>
          <a:bodyPr rot="-2700000" vert="horz" anchor="ctr" anchorCtr="0"/>
          <a:lstStyle/>
          <a:p>
            <a:pPr>
              <a:defRPr sz="1200" baseline="0">
                <a:latin typeface="Times New Roman" pitchFamily="18" charset="0"/>
                <a:cs typeface="Times New Roman" pitchFamily="18" charset="0"/>
              </a:defRPr>
            </a:pPr>
            <a:endParaRPr lang="ru-RU"/>
          </a:p>
        </c:txPr>
        <c:crossAx val="79860224"/>
        <c:crossesAt val="0"/>
        <c:auto val="1"/>
        <c:lblAlgn val="ctr"/>
        <c:lblOffset val="100"/>
        <c:noMultiLvlLbl val="0"/>
      </c:catAx>
      <c:valAx>
        <c:axId val="79860224"/>
        <c:scaling>
          <c:orientation val="minMax"/>
          <c:max val="140"/>
          <c:min val="0"/>
        </c:scaling>
        <c:delete val="0"/>
        <c:axPos val="l"/>
        <c:numFmt formatCode="General" sourceLinked="1"/>
        <c:majorTickMark val="cross"/>
        <c:minorTickMark val="none"/>
        <c:tickLblPos val="nextTo"/>
        <c:spPr>
          <a:noFill/>
          <a:ln>
            <a:solidFill>
              <a:sysClr val="windowText" lastClr="000000">
                <a:lumMod val="65000"/>
                <a:lumOff val="35000"/>
              </a:sysClr>
            </a:solidFill>
          </a:ln>
          <a:effectLst/>
        </c:spPr>
        <c:txPr>
          <a:bodyPr/>
          <a:lstStyle/>
          <a:p>
            <a:pPr>
              <a:defRPr sz="1200" baseline="0">
                <a:latin typeface="Times New Roman" pitchFamily="18" charset="0"/>
                <a:cs typeface="Times New Roman" pitchFamily="18" charset="0"/>
              </a:defRPr>
            </a:pPr>
            <a:endParaRPr lang="ru-RU"/>
          </a:p>
        </c:txPr>
        <c:crossAx val="188764160"/>
        <c:crosses val="autoZero"/>
        <c:crossBetween val="between"/>
        <c:majorUnit val="20"/>
        <c:minorUnit val="1"/>
      </c:valAx>
      <c:spPr>
        <a:noFill/>
        <a:ln w="25401">
          <a:noFill/>
        </a:ln>
      </c:spPr>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5B56E-E1B4-471E-8A9B-FF9033E2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Бадрунов Валерий Ильфирович</dc:creator>
  <cp:lastModifiedBy>Гладченко Елена Николаевна</cp:lastModifiedBy>
  <cp:revision>2</cp:revision>
  <cp:lastPrinted>2018-01-25T07:36:00Z</cp:lastPrinted>
  <dcterms:created xsi:type="dcterms:W3CDTF">2018-06-20T09:13:00Z</dcterms:created>
  <dcterms:modified xsi:type="dcterms:W3CDTF">2018-06-20T09:13:00Z</dcterms:modified>
</cp:coreProperties>
</file>