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72" w:rsidRDefault="00907172">
      <w:pPr>
        <w:pStyle w:val="23"/>
        <w:spacing w:after="0" w:line="240" w:lineRule="auto"/>
        <w:jc w:val="center"/>
        <w:rPr>
          <w:sz w:val="28"/>
          <w:szCs w:val="28"/>
        </w:rPr>
      </w:pPr>
    </w:p>
    <w:p w:rsidR="00907172" w:rsidRDefault="00D65EFE">
      <w:pPr>
        <w:pStyle w:val="23"/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ЗАКЛЮЧЕНИЕ</w:t>
      </w:r>
    </w:p>
    <w:p w:rsidR="00907172" w:rsidRDefault="00D65EFE">
      <w:pPr>
        <w:pStyle w:val="23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об оценке регулирующего воздействия проекта нормативного правового акта</w:t>
      </w:r>
      <w:r>
        <w:rPr>
          <w:sz w:val="28"/>
          <w:szCs w:val="28"/>
        </w:rPr>
        <w:t>/</w:t>
      </w:r>
    </w:p>
    <w:p w:rsidR="00907172" w:rsidRDefault="00D65EFE">
      <w:pPr>
        <w:pStyle w:val="23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экспертизе нормативного правового акта</w:t>
      </w:r>
    </w:p>
    <w:p w:rsidR="00907172" w:rsidRDefault="00D65EFE">
      <w:pPr>
        <w:pStyle w:val="23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(далее - НПА) </w:t>
      </w:r>
    </w:p>
    <w:p w:rsidR="00907172" w:rsidRDefault="00907172">
      <w:pPr>
        <w:pStyle w:val="23"/>
        <w:spacing w:after="0" w:line="240" w:lineRule="auto"/>
        <w:jc w:val="center"/>
        <w:rPr>
          <w:sz w:val="32"/>
          <w:szCs w:val="32"/>
        </w:rPr>
      </w:pPr>
    </w:p>
    <w:p w:rsidR="00907172" w:rsidRDefault="00D65EFE">
      <w:pPr>
        <w:ind w:right="-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Управление пассажирского транспорта администрации города Оренбурга</w:t>
      </w:r>
    </w:p>
    <w:p w:rsidR="00907172" w:rsidRDefault="00D65EFE">
      <w:pPr>
        <w:pStyle w:val="23"/>
        <w:spacing w:after="0" w:line="240" w:lineRule="auto"/>
        <w:ind w:right="-1"/>
        <w:jc w:val="center"/>
        <w:rPr>
          <w:sz w:val="28"/>
          <w:szCs w:val="28"/>
        </w:rPr>
      </w:pPr>
      <w:proofErr w:type="gramStart"/>
      <w:r>
        <w:t>(разработчик - отраслевой (функциональный) или территориальный орган</w:t>
      </w:r>
      <w:proofErr w:type="gramEnd"/>
    </w:p>
    <w:p w:rsidR="00907172" w:rsidRDefault="00D65EFE">
      <w:pPr>
        <w:pStyle w:val="23"/>
        <w:spacing w:after="0" w:line="240" w:lineRule="auto"/>
        <w:ind w:right="-1"/>
        <w:jc w:val="center"/>
        <w:rPr>
          <w:vertAlign w:val="superscript"/>
        </w:rPr>
      </w:pPr>
      <w:proofErr w:type="gramStart"/>
      <w:r>
        <w:t>Администрации города Оренбурга)</w:t>
      </w:r>
      <w:proofErr w:type="gramEnd"/>
    </w:p>
    <w:p w:rsidR="00907172" w:rsidRDefault="00907172">
      <w:pPr>
        <w:pStyle w:val="23"/>
        <w:tabs>
          <w:tab w:val="left" w:pos="1134"/>
        </w:tabs>
        <w:spacing w:after="0" w:line="240" w:lineRule="auto"/>
        <w:ind w:left="851"/>
        <w:jc w:val="both"/>
        <w:rPr>
          <w:sz w:val="32"/>
          <w:szCs w:val="32"/>
        </w:rPr>
      </w:pPr>
    </w:p>
    <w:p w:rsidR="00907172" w:rsidRDefault="00D65EFE">
      <w:pPr>
        <w:pStyle w:val="2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проекта нормативного правового акта (далее – НПА): проект постановления Администрации города Оренбурга «О внесении изменений </w:t>
      </w:r>
      <w:r>
        <w:rPr>
          <w:sz w:val="28"/>
          <w:szCs w:val="28"/>
        </w:rPr>
        <w:br/>
        <w:t xml:space="preserve">в постановление администрации города Оренбурга от 25.12.2015 № 3621-п» </w:t>
      </w:r>
      <w:r>
        <w:rPr>
          <w:sz w:val="28"/>
          <w:szCs w:val="28"/>
        </w:rPr>
        <w:br/>
        <w:t>(«</w:t>
      </w:r>
      <w:r>
        <w:rPr>
          <w:color w:val="000000" w:themeColor="text1"/>
          <w:sz w:val="28"/>
          <w:szCs w:val="28"/>
        </w:rPr>
        <w:t>Об утверждении муниципальных маршрутов регу</w:t>
      </w:r>
      <w:r>
        <w:rPr>
          <w:color w:val="000000" w:themeColor="text1"/>
          <w:sz w:val="28"/>
          <w:szCs w:val="28"/>
        </w:rPr>
        <w:t>лярных пассажирских перевозок муниципальной транспортной сети и расстановки транспорта по муниципальным маршрутам регулярных пассажирских перевозок города Оренбурга</w:t>
      </w:r>
      <w:r>
        <w:rPr>
          <w:sz w:val="28"/>
          <w:szCs w:val="28"/>
        </w:rPr>
        <w:t>»).</w:t>
      </w:r>
    </w:p>
    <w:p w:rsidR="00907172" w:rsidRDefault="00D65EFE">
      <w:pPr>
        <w:pStyle w:val="2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Цель (основания) для принятия проекта НПА: в соответствии с подпунктом 9 пункта 2.1.3 до</w:t>
      </w:r>
      <w:r>
        <w:rPr>
          <w:sz w:val="28"/>
          <w:szCs w:val="28"/>
        </w:rPr>
        <w:t>кумента планирования регулярных перевозок по муниципальным маршрутам регулярных перевозок города Оренбурга и межмуниципальным садоводческим маршрутам регулярных перевозок граждан до территорий садоводческих и огороднических некоммерческих товариществ и обр</w:t>
      </w:r>
      <w:r>
        <w:rPr>
          <w:sz w:val="28"/>
          <w:szCs w:val="28"/>
        </w:rPr>
        <w:t>атно на 2016 - 2024 годы, утвержденного постановлением администрации города Оренбурга от 14.10.2016 № 3150-п, внесены изменения в постановление администрации города Оренбурга от</w:t>
      </w:r>
      <w:proofErr w:type="gramEnd"/>
      <w:r>
        <w:rPr>
          <w:sz w:val="28"/>
          <w:szCs w:val="28"/>
        </w:rPr>
        <w:t xml:space="preserve"> 25.12.2015 № 3621-п «Об утверждении муниципальных маршрутов регулярных пассажи</w:t>
      </w:r>
      <w:r>
        <w:rPr>
          <w:sz w:val="28"/>
          <w:szCs w:val="28"/>
        </w:rPr>
        <w:t xml:space="preserve">рских перевозок муниципальной транспортной сети </w:t>
      </w:r>
      <w:r>
        <w:rPr>
          <w:sz w:val="28"/>
          <w:szCs w:val="28"/>
        </w:rPr>
        <w:br/>
        <w:t>и расстановки транспорта по муниципальным маршрутам регулярных пассажирских перевозок города Оренбурга».</w:t>
      </w:r>
    </w:p>
    <w:p w:rsidR="00907172" w:rsidRDefault="00D65EFE">
      <w:pPr>
        <w:pStyle w:val="23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right="-1" w:firstLine="709"/>
        <w:jc w:val="both"/>
        <w:rPr>
          <w:strike/>
          <w:sz w:val="28"/>
          <w:szCs w:val="28"/>
        </w:rPr>
      </w:pPr>
      <w:proofErr w:type="gramStart"/>
      <w:r>
        <w:rPr>
          <w:sz w:val="28"/>
          <w:szCs w:val="28"/>
        </w:rPr>
        <w:t xml:space="preserve">Публичные консультации проведены в углубленном порядке (средняя степень воздействия) в </w:t>
      </w:r>
      <w:proofErr w:type="spellStart"/>
      <w:r>
        <w:rPr>
          <w:sz w:val="28"/>
          <w:szCs w:val="28"/>
        </w:rPr>
        <w:t>периодс</w:t>
      </w:r>
      <w:proofErr w:type="spellEnd"/>
      <w:r>
        <w:rPr>
          <w:sz w:val="28"/>
          <w:szCs w:val="28"/>
        </w:rPr>
        <w:t xml:space="preserve"> 11.07.2</w:t>
      </w:r>
      <w:r>
        <w:rPr>
          <w:sz w:val="28"/>
          <w:szCs w:val="28"/>
        </w:rPr>
        <w:t xml:space="preserve">023 по 24.07.2023 в форме размещения </w:t>
      </w:r>
      <w:r>
        <w:rPr>
          <w:sz w:val="28"/>
          <w:szCs w:val="28"/>
        </w:rPr>
        <w:br/>
        <w:t xml:space="preserve">на официальном Интернет-портале города Оренбурга уведомления о проведении публичных консультаций, проекта нормативного правового акта, пояснительной записки, опросного листа для участников публичных консультаций и </w:t>
      </w:r>
      <w:r>
        <w:rPr>
          <w:sz w:val="28"/>
        </w:rPr>
        <w:t>норм</w:t>
      </w:r>
      <w:r>
        <w:rPr>
          <w:sz w:val="28"/>
        </w:rPr>
        <w:t>ативного правового акта, в который вносятся изменения, в действующей редакции.</w:t>
      </w:r>
      <w:proofErr w:type="gramEnd"/>
      <w:r>
        <w:rPr>
          <w:sz w:val="28"/>
          <w:szCs w:val="28"/>
        </w:rPr>
        <w:t xml:space="preserve"> По результатам публичных консультаций предложения и замечания разработчику не поступили.</w:t>
      </w:r>
    </w:p>
    <w:p w:rsidR="00907172" w:rsidRDefault="00D65EFE">
      <w:pPr>
        <w:pStyle w:val="2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публичных консультаций разработчиком принято решение о принятии проекта Н</w:t>
      </w:r>
      <w:r>
        <w:rPr>
          <w:sz w:val="28"/>
          <w:szCs w:val="28"/>
        </w:rPr>
        <w:t>ПА в установленном порядке.</w:t>
      </w:r>
    </w:p>
    <w:p w:rsidR="00907172" w:rsidRDefault="00D65EFE">
      <w:pPr>
        <w:pStyle w:val="2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оценки регулирующего воздействия проекта НПА факторы негативного воздействия принятия нормативного правового акта не выявлены. </w:t>
      </w:r>
    </w:p>
    <w:p w:rsidR="00907172" w:rsidRDefault="00D65EFE">
      <w:pPr>
        <w:pStyle w:val="2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Качество проведения процедуры оценки регулирующего воздействия проекта НПА и подготовки</w:t>
      </w:r>
      <w:r>
        <w:rPr>
          <w:sz w:val="28"/>
          <w:szCs w:val="28"/>
        </w:rPr>
        <w:t xml:space="preserve"> сводного отчета соответствует требованиям Порядка проведения оценки регулирующего воздействия проектов муниципальных нормативных правовых актов города Оренбурга, устанавливающих новые или изменяющих ранее предусмотренные муниципальными нормативными правов</w:t>
      </w:r>
      <w:r>
        <w:rPr>
          <w:sz w:val="28"/>
          <w:szCs w:val="28"/>
        </w:rPr>
        <w:t xml:space="preserve">ыми актами обязательные требования для субъектов предпринимательской и иной </w:t>
      </w:r>
      <w:r>
        <w:rPr>
          <w:sz w:val="28"/>
          <w:szCs w:val="28"/>
        </w:rPr>
        <w:lastRenderedPageBreak/>
        <w:t xml:space="preserve">экономической деятельности, обязанности для субъектов инвестиционной деятельности, утвержденного постановлением администрации города Оренбурга </w:t>
      </w:r>
      <w:r>
        <w:rPr>
          <w:sz w:val="28"/>
          <w:szCs w:val="28"/>
        </w:rPr>
        <w:br/>
        <w:t>от 24.02.2015 № 396-п (в ред</w:t>
      </w:r>
      <w:proofErr w:type="gramEnd"/>
      <w:r>
        <w:rPr>
          <w:sz w:val="28"/>
          <w:szCs w:val="28"/>
        </w:rPr>
        <w:t>. от 09.</w:t>
      </w:r>
      <w:r>
        <w:rPr>
          <w:sz w:val="28"/>
          <w:szCs w:val="28"/>
        </w:rPr>
        <w:t xml:space="preserve">11.2022 № 2047-п) (далее - Порядок): </w:t>
      </w:r>
    </w:p>
    <w:p w:rsidR="00907172" w:rsidRDefault="00D65EFE">
      <w:pPr>
        <w:pStyle w:val="2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проведения оценки регулирующего воздействия и степень регулирующего воздействия определены разработчиком самостоятельно;</w:t>
      </w:r>
    </w:p>
    <w:p w:rsidR="00907172" w:rsidRDefault="00D65EFE">
      <w:pPr>
        <w:pStyle w:val="2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уведомление о проведении публичных консультаций, проект правового акта, пояснительн</w:t>
      </w:r>
      <w:r>
        <w:rPr>
          <w:sz w:val="28"/>
          <w:szCs w:val="28"/>
        </w:rPr>
        <w:t xml:space="preserve">ая записка, опросный лист </w:t>
      </w:r>
      <w:r>
        <w:rPr>
          <w:sz w:val="28"/>
          <w:lang w:eastAsia="en-US"/>
        </w:rPr>
        <w:t xml:space="preserve">и нормативный правовой акт </w:t>
      </w:r>
      <w:r>
        <w:rPr>
          <w:sz w:val="28"/>
          <w:lang w:eastAsia="en-US"/>
        </w:rPr>
        <w:br/>
        <w:t>в действующей редакции</w:t>
      </w:r>
      <w:r>
        <w:rPr>
          <w:sz w:val="28"/>
          <w:szCs w:val="28"/>
        </w:rPr>
        <w:t xml:space="preserve"> размещены на официальном Интернет-портале города Оренбурга в установленном порядке;</w:t>
      </w:r>
      <w:proofErr w:type="gramEnd"/>
    </w:p>
    <w:p w:rsidR="00907172" w:rsidRDefault="00D65EFE">
      <w:pPr>
        <w:pStyle w:val="2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публичных консультаций соответствует требованиям Порядка (для углубленного  пор</w:t>
      </w:r>
      <w:r>
        <w:rPr>
          <w:sz w:val="28"/>
          <w:szCs w:val="28"/>
        </w:rPr>
        <w:t xml:space="preserve">ядка со средней степенью регулирующего воздействия </w:t>
      </w:r>
      <w:r>
        <w:rPr>
          <w:sz w:val="28"/>
          <w:szCs w:val="28"/>
        </w:rPr>
        <w:softHyphen/>
        <w:t>– 10 рабочих дней);</w:t>
      </w:r>
    </w:p>
    <w:p w:rsidR="00907172" w:rsidRDefault="00D65EFE">
      <w:pPr>
        <w:pStyle w:val="2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публичных консультаций разработчиком подготовлен сводный отчет об оценке регулирующего воздействия;</w:t>
      </w:r>
    </w:p>
    <w:p w:rsidR="00907172" w:rsidRDefault="00D65EFE">
      <w:pPr>
        <w:pStyle w:val="2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сводный отчет об оценке регулирующего воздействия содержит основание </w:t>
      </w:r>
      <w:r>
        <w:rPr>
          <w:sz w:val="28"/>
          <w:szCs w:val="28"/>
        </w:rPr>
        <w:t xml:space="preserve">принятия НПА, обоснование </w:t>
      </w:r>
      <w:proofErr w:type="gramStart"/>
      <w:r>
        <w:rPr>
          <w:sz w:val="28"/>
          <w:szCs w:val="28"/>
        </w:rPr>
        <w:t>применения углубленного порядка проведения оценки регулирующего воздействия проекта</w:t>
      </w:r>
      <w:proofErr w:type="gramEnd"/>
      <w:r>
        <w:rPr>
          <w:sz w:val="28"/>
          <w:szCs w:val="28"/>
        </w:rPr>
        <w:t xml:space="preserve"> НПА, сведения о публичных консультациях,</w:t>
      </w:r>
      <w:r>
        <w:rPr>
          <w:strike/>
          <w:sz w:val="28"/>
          <w:szCs w:val="28"/>
        </w:rPr>
        <w:t xml:space="preserve"> </w:t>
      </w:r>
      <w:r>
        <w:rPr>
          <w:sz w:val="28"/>
          <w:szCs w:val="28"/>
        </w:rPr>
        <w:t>сравнение возможных вариантов решения проблемы, решение, принятое по результатам публичных консультаций.</w:t>
      </w:r>
    </w:p>
    <w:p w:rsidR="00907172" w:rsidRDefault="00D65EFE">
      <w:pPr>
        <w:pStyle w:val="2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На основе проведенной оценки регулирующего воздействия проекта НПА  с учетом информации, представленной разработчиком в сводном отчете, управлением экономики и перспективного развития администрации города Оренбурга сделан вывод о достаточном обосновании ре</w:t>
      </w:r>
      <w:r>
        <w:rPr>
          <w:sz w:val="28"/>
          <w:szCs w:val="28"/>
        </w:rPr>
        <w:t xml:space="preserve">шения проблемы предложенным способом правового регулирования. </w:t>
      </w:r>
      <w:r>
        <w:rPr>
          <w:sz w:val="28"/>
        </w:rPr>
        <w:t>В представленном сводном отчете выбор предпочтительного варианта решения выявленной проблемы разработчиком аргументирован.</w:t>
      </w:r>
    </w:p>
    <w:p w:rsidR="00907172" w:rsidRDefault="00D65EFE">
      <w:pPr>
        <w:pStyle w:val="2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НПА отсутствуют положения, которые вводят избы</w:t>
      </w:r>
      <w:r>
        <w:rPr>
          <w:sz w:val="28"/>
          <w:szCs w:val="28"/>
        </w:rPr>
        <w:t xml:space="preserve">точные </w:t>
      </w:r>
      <w:r>
        <w:rPr>
          <w:sz w:val="28"/>
        </w:rPr>
        <w:t xml:space="preserve">обязанности/запреты/ограничения </w:t>
      </w:r>
      <w:r>
        <w:rPr>
          <w:sz w:val="28"/>
          <w:szCs w:val="28"/>
        </w:rPr>
        <w:t xml:space="preserve">для субъектов предпринимательской и иной экономической деятельности </w:t>
      </w:r>
      <w:r>
        <w:rPr>
          <w:sz w:val="28"/>
        </w:rPr>
        <w:t xml:space="preserve">или способствуют их введению. </w:t>
      </w:r>
    </w:p>
    <w:p w:rsidR="00907172" w:rsidRDefault="00D65EFE">
      <w:pPr>
        <w:pStyle w:val="23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strike/>
          <w:sz w:val="28"/>
          <w:szCs w:val="28"/>
        </w:rPr>
      </w:pPr>
      <w:r>
        <w:rPr>
          <w:sz w:val="28"/>
        </w:rPr>
        <w:t xml:space="preserve">Положения, необоснованно способствующие ограничению конкуренции, </w:t>
      </w:r>
      <w:r>
        <w:rPr>
          <w:sz w:val="28"/>
        </w:rPr>
        <w:br/>
        <w:t xml:space="preserve">а также способствующие возникновению необоснованных </w:t>
      </w:r>
      <w:r>
        <w:rPr>
          <w:sz w:val="28"/>
        </w:rPr>
        <w:t>расходов субъектов предпринимательской и иной экономической деятельности или расходов бюджета города Оренбурга, не выявлены.</w:t>
      </w:r>
    </w:p>
    <w:p w:rsidR="00907172" w:rsidRDefault="00907172">
      <w:pPr>
        <w:pStyle w:val="23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strike/>
          <w:sz w:val="28"/>
          <w:szCs w:val="28"/>
        </w:rPr>
      </w:pPr>
    </w:p>
    <w:p w:rsidR="00907172" w:rsidRDefault="00907172">
      <w:pPr>
        <w:pStyle w:val="23"/>
        <w:spacing w:after="0" w:line="240" w:lineRule="auto"/>
        <w:ind w:firstLine="709"/>
        <w:jc w:val="center"/>
        <w:rPr>
          <w:sz w:val="28"/>
          <w:szCs w:val="28"/>
        </w:rPr>
      </w:pPr>
    </w:p>
    <w:p w:rsidR="00907172" w:rsidRDefault="00D65EFE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2988310" cy="1192530"/>
            <wp:effectExtent l="0" t="0" r="0" b="0"/>
            <wp:docPr id="4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</w:t>
      </w:r>
    </w:p>
    <w:p w:rsidR="00907172" w:rsidRDefault="00907172">
      <w:pPr>
        <w:pStyle w:val="23"/>
        <w:spacing w:after="0" w:line="240" w:lineRule="auto"/>
        <w:jc w:val="center"/>
        <w:rPr>
          <w:sz w:val="28"/>
          <w:szCs w:val="28"/>
        </w:rPr>
      </w:pPr>
    </w:p>
    <w:p w:rsidR="00907172" w:rsidRDefault="00D65EFE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Е.А. </w:t>
      </w:r>
      <w:proofErr w:type="spellStart"/>
      <w:r>
        <w:rPr>
          <w:sz w:val="28"/>
          <w:szCs w:val="28"/>
        </w:rPr>
        <w:t>Бинковский</w:t>
      </w:r>
      <w:proofErr w:type="spellEnd"/>
    </w:p>
    <w:p w:rsidR="00907172" w:rsidRDefault="00D65EF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sectPr w:rsidR="00907172">
      <w:footerReference w:type="default" r:id="rId10"/>
      <w:pgSz w:w="11906" w:h="16838"/>
      <w:pgMar w:top="851" w:right="567" w:bottom="1134" w:left="1134" w:header="0" w:footer="709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EFE" w:rsidRDefault="00D65EFE">
      <w:r>
        <w:separator/>
      </w:r>
    </w:p>
  </w:endnote>
  <w:endnote w:type="continuationSeparator" w:id="0">
    <w:p w:rsidR="00D65EFE" w:rsidRDefault="00D6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203" w:usb1="00000000" w:usb2="00000000" w:usb3="00000000" w:csb0="00000005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172" w:rsidRDefault="00907172">
    <w:pPr>
      <w:pStyle w:val="ae"/>
      <w:jc w:val="center"/>
      <w:rPr>
        <w:rFonts w:ascii="Times New Roman" w:hAnsi="Times New Roman"/>
      </w:rPr>
    </w:pPr>
  </w:p>
  <w:p w:rsidR="00907172" w:rsidRDefault="0090717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EFE" w:rsidRDefault="00D65EFE">
      <w:r>
        <w:separator/>
      </w:r>
    </w:p>
  </w:footnote>
  <w:footnote w:type="continuationSeparator" w:id="0">
    <w:p w:rsidR="00D65EFE" w:rsidRDefault="00D65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36612"/>
    <w:multiLevelType w:val="multilevel"/>
    <w:tmpl w:val="0406B80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trike w:val="0"/>
        <w:d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5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11" w:hanging="2160"/>
      </w:pPr>
    </w:lvl>
  </w:abstractNum>
  <w:abstractNum w:abstractNumId="1">
    <w:nsid w:val="61DA2243"/>
    <w:multiLevelType w:val="multilevel"/>
    <w:tmpl w:val="38D4688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eastAsia="Times New Roman" w:hAnsi="Times New Roman" w:cs="Times New Roman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68BF3141"/>
    <w:multiLevelType w:val="multilevel"/>
    <w:tmpl w:val="708628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72"/>
    <w:rsid w:val="00907172"/>
    <w:rsid w:val="00D65EFE"/>
    <w:rsid w:val="00FD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BE4F57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unhideWhenUsed/>
    <w:qFormat/>
    <w:rsid w:val="00BE4F57"/>
    <w:pPr>
      <w:keepNext/>
      <w:jc w:val="center"/>
      <w:outlineLvl w:val="1"/>
    </w:pPr>
    <w:rPr>
      <w:b/>
      <w:bCs/>
      <w:spacing w:val="50"/>
      <w:sz w:val="31"/>
    </w:rPr>
  </w:style>
  <w:style w:type="paragraph" w:styleId="3">
    <w:name w:val="heading 3"/>
    <w:basedOn w:val="a"/>
    <w:next w:val="a"/>
    <w:unhideWhenUsed/>
    <w:qFormat/>
    <w:rsid w:val="00BE4F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unhideWhenUsed/>
    <w:qFormat/>
    <w:rsid w:val="00BE4F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BE4F5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qFormat/>
    <w:rsid w:val="00BE4F57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customStyle="1" w:styleId="30">
    <w:name w:val="Заголовок 3 Знак"/>
    <w:basedOn w:val="a0"/>
    <w:qFormat/>
    <w:rsid w:val="00BE4F5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BE4F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BE4F57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uiPriority w:val="99"/>
    <w:qFormat/>
    <w:rsid w:val="00BE4F57"/>
    <w:rPr>
      <w:rFonts w:ascii="Calibri" w:eastAsia="Calibri" w:hAnsi="Calibri" w:cs="Times New Roman"/>
    </w:rPr>
  </w:style>
  <w:style w:type="character" w:customStyle="1" w:styleId="a5">
    <w:name w:val="Название Знак"/>
    <w:basedOn w:val="a0"/>
    <w:uiPriority w:val="10"/>
    <w:qFormat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uiPriority w:val="99"/>
    <w:qFormat/>
    <w:rsid w:val="00BE4F57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qFormat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Текст выноски Знак"/>
    <w:basedOn w:val="a0"/>
    <w:uiPriority w:val="99"/>
    <w:semiHidden/>
    <w:qFormat/>
    <w:rsid w:val="00BE4F5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BE4F57"/>
    <w:rPr>
      <w:color w:val="000080"/>
      <w:u w:val="single"/>
    </w:rPr>
  </w:style>
  <w:style w:type="character" w:customStyle="1" w:styleId="FontStyle47">
    <w:name w:val="Font Style47"/>
    <w:basedOn w:val="a0"/>
    <w:qFormat/>
    <w:rsid w:val="00BE4F57"/>
    <w:rPr>
      <w:rFonts w:ascii="Times New Roman" w:hAnsi="Times New Roman" w:cs="Times New Roman"/>
      <w:sz w:val="20"/>
      <w:szCs w:val="20"/>
    </w:rPr>
  </w:style>
  <w:style w:type="character" w:customStyle="1" w:styleId="11">
    <w:name w:val="Верхний колонтитул Знак1"/>
    <w:basedOn w:val="a0"/>
    <w:uiPriority w:val="99"/>
    <w:semiHidden/>
    <w:qFormat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qFormat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азвание Знак1"/>
    <w:basedOn w:val="a0"/>
    <w:uiPriority w:val="10"/>
    <w:qFormat/>
    <w:rsid w:val="002B4C71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qFormat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qFormat/>
    <w:rsid w:val="002B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qFormat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qFormat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кст выноски Знак1"/>
    <w:basedOn w:val="a0"/>
    <w:uiPriority w:val="99"/>
    <w:semiHidden/>
    <w:qFormat/>
    <w:rsid w:val="002B4C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Nirmala U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Title"/>
    <w:basedOn w:val="a"/>
    <w:uiPriority w:val="10"/>
    <w:qFormat/>
    <w:rsid w:val="00BE4F57"/>
    <w:pPr>
      <w:ind w:firstLine="5529"/>
      <w:jc w:val="center"/>
    </w:pPr>
    <w:rPr>
      <w:sz w:val="28"/>
    </w:rPr>
  </w:style>
  <w:style w:type="paragraph" w:styleId="af0">
    <w:name w:val="Body Text Indent"/>
    <w:basedOn w:val="a"/>
    <w:uiPriority w:val="99"/>
    <w:semiHidden/>
    <w:unhideWhenUsed/>
    <w:rsid w:val="00BE4F57"/>
    <w:pPr>
      <w:spacing w:after="120"/>
      <w:ind w:left="283"/>
    </w:pPr>
  </w:style>
  <w:style w:type="paragraph" w:styleId="af1">
    <w:name w:val="Subtitle"/>
    <w:basedOn w:val="a"/>
    <w:next w:val="a"/>
    <w:uiPriority w:val="99"/>
    <w:qFormat/>
    <w:rsid w:val="00BE4F57"/>
    <w:pPr>
      <w:spacing w:after="60"/>
      <w:jc w:val="center"/>
      <w:outlineLvl w:val="1"/>
    </w:pPr>
    <w:rPr>
      <w:rFonts w:ascii="Cambria" w:hAnsi="Cambria"/>
    </w:rPr>
  </w:style>
  <w:style w:type="paragraph" w:styleId="23">
    <w:name w:val="Body Text 2"/>
    <w:basedOn w:val="a"/>
    <w:uiPriority w:val="99"/>
    <w:unhideWhenUsed/>
    <w:qFormat/>
    <w:rsid w:val="00BE4F57"/>
    <w:pPr>
      <w:spacing w:after="120" w:line="480" w:lineRule="auto"/>
    </w:pPr>
  </w:style>
  <w:style w:type="paragraph" w:styleId="24">
    <w:name w:val="Body Text Indent 2"/>
    <w:basedOn w:val="a"/>
    <w:uiPriority w:val="99"/>
    <w:semiHidden/>
    <w:unhideWhenUsed/>
    <w:qFormat/>
    <w:rsid w:val="00BE4F57"/>
    <w:pPr>
      <w:ind w:left="1800" w:hanging="1800"/>
      <w:jc w:val="both"/>
    </w:pPr>
    <w:rPr>
      <w:sz w:val="28"/>
    </w:rPr>
  </w:style>
  <w:style w:type="paragraph" w:styleId="af2">
    <w:name w:val="Balloon Text"/>
    <w:basedOn w:val="a"/>
    <w:uiPriority w:val="99"/>
    <w:semiHidden/>
    <w:unhideWhenUsed/>
    <w:qFormat/>
    <w:rsid w:val="00BE4F57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BE4F57"/>
  </w:style>
  <w:style w:type="paragraph" w:customStyle="1" w:styleId="ConsPlusNonformat">
    <w:name w:val="ConsPlusNonformat"/>
    <w:uiPriority w:val="99"/>
    <w:qFormat/>
    <w:rsid w:val="00BE4F57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Без интервала1"/>
    <w:qFormat/>
    <w:rsid w:val="00CC21E5"/>
    <w:rPr>
      <w:rFonts w:eastAsia="Times New Roman" w:cs="Times New Roman"/>
    </w:rPr>
  </w:style>
  <w:style w:type="paragraph" w:styleId="af4">
    <w:name w:val="List Paragraph"/>
    <w:basedOn w:val="a"/>
    <w:uiPriority w:val="34"/>
    <w:qFormat/>
    <w:rsid w:val="002B4C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BE4F57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unhideWhenUsed/>
    <w:qFormat/>
    <w:rsid w:val="00BE4F57"/>
    <w:pPr>
      <w:keepNext/>
      <w:jc w:val="center"/>
      <w:outlineLvl w:val="1"/>
    </w:pPr>
    <w:rPr>
      <w:b/>
      <w:bCs/>
      <w:spacing w:val="50"/>
      <w:sz w:val="31"/>
    </w:rPr>
  </w:style>
  <w:style w:type="paragraph" w:styleId="3">
    <w:name w:val="heading 3"/>
    <w:basedOn w:val="a"/>
    <w:next w:val="a"/>
    <w:unhideWhenUsed/>
    <w:qFormat/>
    <w:rsid w:val="00BE4F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unhideWhenUsed/>
    <w:qFormat/>
    <w:rsid w:val="00BE4F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BE4F5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qFormat/>
    <w:rsid w:val="00BE4F57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customStyle="1" w:styleId="30">
    <w:name w:val="Заголовок 3 Знак"/>
    <w:basedOn w:val="a0"/>
    <w:qFormat/>
    <w:rsid w:val="00BE4F5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BE4F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BE4F57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uiPriority w:val="99"/>
    <w:qFormat/>
    <w:rsid w:val="00BE4F57"/>
    <w:rPr>
      <w:rFonts w:ascii="Calibri" w:eastAsia="Calibri" w:hAnsi="Calibri" w:cs="Times New Roman"/>
    </w:rPr>
  </w:style>
  <w:style w:type="character" w:customStyle="1" w:styleId="a5">
    <w:name w:val="Название Знак"/>
    <w:basedOn w:val="a0"/>
    <w:uiPriority w:val="10"/>
    <w:qFormat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uiPriority w:val="99"/>
    <w:qFormat/>
    <w:rsid w:val="00BE4F57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qFormat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Текст выноски Знак"/>
    <w:basedOn w:val="a0"/>
    <w:uiPriority w:val="99"/>
    <w:semiHidden/>
    <w:qFormat/>
    <w:rsid w:val="00BE4F5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BE4F57"/>
    <w:rPr>
      <w:color w:val="000080"/>
      <w:u w:val="single"/>
    </w:rPr>
  </w:style>
  <w:style w:type="character" w:customStyle="1" w:styleId="FontStyle47">
    <w:name w:val="Font Style47"/>
    <w:basedOn w:val="a0"/>
    <w:qFormat/>
    <w:rsid w:val="00BE4F57"/>
    <w:rPr>
      <w:rFonts w:ascii="Times New Roman" w:hAnsi="Times New Roman" w:cs="Times New Roman"/>
      <w:sz w:val="20"/>
      <w:szCs w:val="20"/>
    </w:rPr>
  </w:style>
  <w:style w:type="character" w:customStyle="1" w:styleId="11">
    <w:name w:val="Верхний колонтитул Знак1"/>
    <w:basedOn w:val="a0"/>
    <w:uiPriority w:val="99"/>
    <w:semiHidden/>
    <w:qFormat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qFormat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азвание Знак1"/>
    <w:basedOn w:val="a0"/>
    <w:uiPriority w:val="10"/>
    <w:qFormat/>
    <w:rsid w:val="002B4C71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qFormat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qFormat/>
    <w:rsid w:val="002B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qFormat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qFormat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кст выноски Знак1"/>
    <w:basedOn w:val="a0"/>
    <w:uiPriority w:val="99"/>
    <w:semiHidden/>
    <w:qFormat/>
    <w:rsid w:val="002B4C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Nirmala U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Title"/>
    <w:basedOn w:val="a"/>
    <w:uiPriority w:val="10"/>
    <w:qFormat/>
    <w:rsid w:val="00BE4F57"/>
    <w:pPr>
      <w:ind w:firstLine="5529"/>
      <w:jc w:val="center"/>
    </w:pPr>
    <w:rPr>
      <w:sz w:val="28"/>
    </w:rPr>
  </w:style>
  <w:style w:type="paragraph" w:styleId="af0">
    <w:name w:val="Body Text Indent"/>
    <w:basedOn w:val="a"/>
    <w:uiPriority w:val="99"/>
    <w:semiHidden/>
    <w:unhideWhenUsed/>
    <w:rsid w:val="00BE4F57"/>
    <w:pPr>
      <w:spacing w:after="120"/>
      <w:ind w:left="283"/>
    </w:pPr>
  </w:style>
  <w:style w:type="paragraph" w:styleId="af1">
    <w:name w:val="Subtitle"/>
    <w:basedOn w:val="a"/>
    <w:next w:val="a"/>
    <w:uiPriority w:val="99"/>
    <w:qFormat/>
    <w:rsid w:val="00BE4F57"/>
    <w:pPr>
      <w:spacing w:after="60"/>
      <w:jc w:val="center"/>
      <w:outlineLvl w:val="1"/>
    </w:pPr>
    <w:rPr>
      <w:rFonts w:ascii="Cambria" w:hAnsi="Cambria"/>
    </w:rPr>
  </w:style>
  <w:style w:type="paragraph" w:styleId="23">
    <w:name w:val="Body Text 2"/>
    <w:basedOn w:val="a"/>
    <w:uiPriority w:val="99"/>
    <w:unhideWhenUsed/>
    <w:qFormat/>
    <w:rsid w:val="00BE4F57"/>
    <w:pPr>
      <w:spacing w:after="120" w:line="480" w:lineRule="auto"/>
    </w:pPr>
  </w:style>
  <w:style w:type="paragraph" w:styleId="24">
    <w:name w:val="Body Text Indent 2"/>
    <w:basedOn w:val="a"/>
    <w:uiPriority w:val="99"/>
    <w:semiHidden/>
    <w:unhideWhenUsed/>
    <w:qFormat/>
    <w:rsid w:val="00BE4F57"/>
    <w:pPr>
      <w:ind w:left="1800" w:hanging="1800"/>
      <w:jc w:val="both"/>
    </w:pPr>
    <w:rPr>
      <w:sz w:val="28"/>
    </w:rPr>
  </w:style>
  <w:style w:type="paragraph" w:styleId="af2">
    <w:name w:val="Balloon Text"/>
    <w:basedOn w:val="a"/>
    <w:uiPriority w:val="99"/>
    <w:semiHidden/>
    <w:unhideWhenUsed/>
    <w:qFormat/>
    <w:rsid w:val="00BE4F57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BE4F57"/>
  </w:style>
  <w:style w:type="paragraph" w:customStyle="1" w:styleId="ConsPlusNonformat">
    <w:name w:val="ConsPlusNonformat"/>
    <w:uiPriority w:val="99"/>
    <w:qFormat/>
    <w:rsid w:val="00BE4F57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Без интервала1"/>
    <w:qFormat/>
    <w:rsid w:val="00CC21E5"/>
    <w:rPr>
      <w:rFonts w:eastAsia="Times New Roman" w:cs="Times New Roman"/>
    </w:rPr>
  </w:style>
  <w:style w:type="paragraph" w:styleId="af4">
    <w:name w:val="List Paragraph"/>
    <w:basedOn w:val="a"/>
    <w:uiPriority w:val="34"/>
    <w:qFormat/>
    <w:rsid w:val="002B4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0A876-1111-4B75-BB39-7D8CAA590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Щукина Виктория Геннадьевна</dc:creator>
  <cp:lastModifiedBy>Грищенко Александр Анатольевич</cp:lastModifiedBy>
  <cp:revision>2</cp:revision>
  <cp:lastPrinted>2023-07-25T09:31:00Z</cp:lastPrinted>
  <dcterms:created xsi:type="dcterms:W3CDTF">2023-07-25T09:32:00Z</dcterms:created>
  <dcterms:modified xsi:type="dcterms:W3CDTF">2023-07-25T09:32:00Z</dcterms:modified>
  <dc:language>ru-RU</dc:language>
</cp:coreProperties>
</file>